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31288E" w14:textId="77777777" w:rsidR="00445792" w:rsidRPr="001720BF" w:rsidRDefault="00000000">
      <w:pPr>
        <w:pStyle w:val="Kop1"/>
        <w:rPr>
          <w:rFonts w:cstheme="majorHAnsi"/>
          <w:sz w:val="24"/>
          <w:szCs w:val="24"/>
        </w:rPr>
      </w:pPr>
      <w:proofErr w:type="spellStart"/>
      <w:r w:rsidRPr="001720BF">
        <w:rPr>
          <w:rFonts w:cstheme="majorHAnsi"/>
          <w:sz w:val="24"/>
          <w:szCs w:val="24"/>
        </w:rPr>
        <w:t>Boekbespreking</w:t>
      </w:r>
      <w:proofErr w:type="spellEnd"/>
    </w:p>
    <w:p w14:paraId="27317F50" w14:textId="7717BE16" w:rsidR="00445792" w:rsidRPr="001720BF" w:rsidRDefault="00000000">
      <w:pPr>
        <w:rPr>
          <w:rFonts w:asciiTheme="majorHAnsi" w:hAnsiTheme="majorHAnsi" w:cstheme="majorHAnsi"/>
        </w:rPr>
      </w:pPr>
      <w:r w:rsidRPr="001720BF">
        <w:rPr>
          <w:rFonts w:asciiTheme="majorHAnsi" w:hAnsiTheme="majorHAnsi" w:cstheme="majorHAnsi"/>
        </w:rPr>
        <w:t xml:space="preserve">The </w:t>
      </w:r>
      <w:proofErr w:type="spellStart"/>
      <w:r w:rsidRPr="001720BF">
        <w:rPr>
          <w:rFonts w:asciiTheme="majorHAnsi" w:hAnsiTheme="majorHAnsi" w:cstheme="majorHAnsi"/>
        </w:rPr>
        <w:t>Desecration</w:t>
      </w:r>
      <w:proofErr w:type="spellEnd"/>
      <w:r w:rsidRPr="001720BF">
        <w:rPr>
          <w:rFonts w:asciiTheme="majorHAnsi" w:hAnsiTheme="majorHAnsi" w:cstheme="majorHAnsi"/>
        </w:rPr>
        <w:t xml:space="preserve"> of Man</w:t>
      </w:r>
      <w:r w:rsidR="00D0695A" w:rsidRPr="001720BF">
        <w:rPr>
          <w:rFonts w:asciiTheme="majorHAnsi" w:hAnsiTheme="majorHAnsi" w:cstheme="majorHAnsi"/>
        </w:rPr>
        <w:t xml:space="preserve">  </w:t>
      </w:r>
      <w:r w:rsidRPr="001720BF">
        <w:rPr>
          <w:rFonts w:asciiTheme="majorHAnsi" w:hAnsiTheme="majorHAnsi" w:cstheme="majorHAnsi"/>
        </w:rPr>
        <w:t xml:space="preserve">Carl R. </w:t>
      </w:r>
      <w:proofErr w:type="spellStart"/>
      <w:r w:rsidRPr="001720BF">
        <w:rPr>
          <w:rFonts w:asciiTheme="majorHAnsi" w:hAnsiTheme="majorHAnsi" w:cstheme="majorHAnsi"/>
        </w:rPr>
        <w:t>Trueman</w:t>
      </w:r>
      <w:proofErr w:type="spellEnd"/>
      <w:r w:rsidR="00D0695A" w:rsidRPr="001720BF">
        <w:rPr>
          <w:rFonts w:asciiTheme="majorHAnsi" w:hAnsiTheme="majorHAnsi" w:cstheme="majorHAnsi"/>
        </w:rPr>
        <w:t xml:space="preserve"> </w:t>
      </w:r>
      <w:proofErr w:type="spellStart"/>
      <w:r w:rsidRPr="001720BF">
        <w:rPr>
          <w:rFonts w:asciiTheme="majorHAnsi" w:hAnsiTheme="majorHAnsi" w:cstheme="majorHAnsi"/>
        </w:rPr>
        <w:t>Sentinel</w:t>
      </w:r>
      <w:proofErr w:type="spellEnd"/>
      <w:r w:rsidRPr="001720BF">
        <w:rPr>
          <w:rFonts w:asciiTheme="majorHAnsi" w:hAnsiTheme="majorHAnsi" w:cstheme="majorHAnsi"/>
        </w:rPr>
        <w:t>, 2026</w:t>
      </w:r>
    </w:p>
    <w:p w14:paraId="266B9754" w14:textId="77777777" w:rsidR="00D0695A" w:rsidRPr="001720BF" w:rsidRDefault="00D0695A">
      <w:pPr>
        <w:rPr>
          <w:rFonts w:asciiTheme="majorHAnsi" w:hAnsiTheme="majorHAnsi" w:cstheme="majorHAnsi"/>
        </w:rPr>
      </w:pPr>
    </w:p>
    <w:p w14:paraId="6FD5890D" w14:textId="77777777" w:rsidR="00D0695A" w:rsidRPr="001720BF" w:rsidRDefault="00D0695A" w:rsidP="00D0695A">
      <w:pPr>
        <w:rPr>
          <w:rFonts w:asciiTheme="majorHAnsi" w:hAnsiTheme="majorHAnsi" w:cstheme="majorHAnsi"/>
          <w:b/>
          <w:bCs/>
        </w:rPr>
      </w:pPr>
      <w:r w:rsidRPr="001720BF">
        <w:rPr>
          <w:rFonts w:asciiTheme="majorHAnsi" w:hAnsiTheme="majorHAnsi" w:cstheme="majorHAnsi"/>
          <w:b/>
          <w:bCs/>
        </w:rPr>
        <w:t>Inleiding</w:t>
      </w:r>
    </w:p>
    <w:p w14:paraId="62A4C7BD" w14:textId="2B18C1F4" w:rsidR="00D0695A" w:rsidRPr="001720BF" w:rsidRDefault="00D0695A" w:rsidP="00D0695A">
      <w:pPr>
        <w:rPr>
          <w:rFonts w:asciiTheme="majorHAnsi" w:hAnsiTheme="majorHAnsi" w:cstheme="majorHAnsi"/>
          <w:b/>
          <w:bCs/>
        </w:rPr>
      </w:pPr>
      <w:r w:rsidRPr="001720BF">
        <w:rPr>
          <w:rFonts w:asciiTheme="majorHAnsi" w:hAnsiTheme="majorHAnsi" w:cstheme="majorHAnsi"/>
          <w:b/>
          <w:bCs/>
        </w:rPr>
        <w:t>De dood van God en van de mens</w:t>
      </w:r>
    </w:p>
    <w:p w14:paraId="6BD53AC1" w14:textId="77777777" w:rsidR="002F2C6C" w:rsidRPr="001720BF" w:rsidRDefault="002F2C6C" w:rsidP="002F2C6C">
      <w:pPr>
        <w:rPr>
          <w:rFonts w:asciiTheme="majorHAnsi" w:hAnsiTheme="majorHAnsi" w:cstheme="majorHAnsi"/>
          <w:b/>
          <w:bCs/>
        </w:rPr>
      </w:pPr>
      <w:r w:rsidRPr="001720BF">
        <w:rPr>
          <w:rFonts w:asciiTheme="majorHAnsi" w:hAnsiTheme="majorHAnsi" w:cstheme="majorHAnsi"/>
          <w:b/>
          <w:bCs/>
        </w:rPr>
        <w:t>Achteruitgang van de westerse cultuur</w:t>
      </w:r>
    </w:p>
    <w:p w14:paraId="1632B7A8" w14:textId="77777777" w:rsidR="002F2C6C" w:rsidRPr="001720BF" w:rsidRDefault="002F2C6C" w:rsidP="002F2C6C">
      <w:pPr>
        <w:rPr>
          <w:rFonts w:asciiTheme="majorHAnsi" w:hAnsiTheme="majorHAnsi" w:cstheme="majorHAnsi"/>
          <w:b/>
          <w:bCs/>
        </w:rPr>
      </w:pPr>
      <w:r w:rsidRPr="001720BF">
        <w:rPr>
          <w:rFonts w:asciiTheme="majorHAnsi" w:hAnsiTheme="majorHAnsi" w:cstheme="majorHAnsi"/>
          <w:b/>
          <w:bCs/>
        </w:rPr>
        <w:t>Onze postchristelijke samenleving</w:t>
      </w:r>
    </w:p>
    <w:p w14:paraId="2E6E72C4" w14:textId="4AED8C78" w:rsidR="002F2C6C" w:rsidRPr="001720BF" w:rsidRDefault="002F2C6C" w:rsidP="002F2C6C">
      <w:pPr>
        <w:rPr>
          <w:rFonts w:asciiTheme="majorHAnsi" w:hAnsiTheme="majorHAnsi" w:cstheme="majorHAnsi"/>
          <w:b/>
          <w:bCs/>
        </w:rPr>
      </w:pPr>
      <w:r w:rsidRPr="001720BF">
        <w:rPr>
          <w:rFonts w:asciiTheme="majorHAnsi" w:hAnsiTheme="majorHAnsi" w:cstheme="majorHAnsi"/>
          <w:b/>
          <w:bCs/>
        </w:rPr>
        <w:t>Het oordeel van de dolle mens</w:t>
      </w:r>
    </w:p>
    <w:p w14:paraId="512B0084" w14:textId="77777777" w:rsidR="00F646AA" w:rsidRPr="001720BF" w:rsidRDefault="00F646AA" w:rsidP="00F646AA">
      <w:pPr>
        <w:rPr>
          <w:rFonts w:asciiTheme="majorHAnsi" w:hAnsiTheme="majorHAnsi" w:cstheme="majorHAnsi"/>
          <w:b/>
          <w:bCs/>
        </w:rPr>
      </w:pPr>
      <w:r w:rsidRPr="001720BF">
        <w:rPr>
          <w:rFonts w:asciiTheme="majorHAnsi" w:hAnsiTheme="majorHAnsi" w:cstheme="majorHAnsi"/>
          <w:b/>
          <w:bCs/>
        </w:rPr>
        <w:t>Seksuele revolutie</w:t>
      </w:r>
    </w:p>
    <w:p w14:paraId="5B5E12E5" w14:textId="77777777" w:rsidR="00F646AA" w:rsidRPr="001720BF" w:rsidRDefault="00F646AA" w:rsidP="00F646AA">
      <w:pPr>
        <w:rPr>
          <w:rFonts w:asciiTheme="majorHAnsi" w:hAnsiTheme="majorHAnsi" w:cstheme="majorHAnsi"/>
          <w:b/>
          <w:bCs/>
        </w:rPr>
      </w:pPr>
      <w:r w:rsidRPr="001720BF">
        <w:rPr>
          <w:rFonts w:asciiTheme="majorHAnsi" w:hAnsiTheme="majorHAnsi" w:cstheme="majorHAnsi"/>
          <w:b/>
          <w:bCs/>
        </w:rPr>
        <w:t>Een wereld zonder God</w:t>
      </w:r>
    </w:p>
    <w:p w14:paraId="574F8308" w14:textId="022833F6" w:rsidR="00F646AA" w:rsidRPr="001720BF" w:rsidRDefault="00F646AA" w:rsidP="00F646AA">
      <w:pPr>
        <w:rPr>
          <w:rFonts w:asciiTheme="majorHAnsi" w:hAnsiTheme="majorHAnsi" w:cstheme="majorHAnsi"/>
          <w:b/>
          <w:bCs/>
        </w:rPr>
      </w:pPr>
      <w:r w:rsidRPr="001720BF">
        <w:rPr>
          <w:rFonts w:asciiTheme="majorHAnsi" w:hAnsiTheme="majorHAnsi" w:cstheme="majorHAnsi"/>
          <w:b/>
          <w:bCs/>
        </w:rPr>
        <w:t>De Godmens of de dolle mens</w:t>
      </w:r>
    </w:p>
    <w:p w14:paraId="24B538C4" w14:textId="77777777" w:rsidR="00F646AA" w:rsidRPr="001720BF" w:rsidRDefault="00F646AA" w:rsidP="00F646AA">
      <w:pPr>
        <w:rPr>
          <w:rFonts w:asciiTheme="majorHAnsi" w:hAnsiTheme="majorHAnsi" w:cstheme="majorHAnsi"/>
          <w:b/>
          <w:bCs/>
        </w:rPr>
      </w:pPr>
    </w:p>
    <w:p w14:paraId="3D19B98C" w14:textId="77777777" w:rsidR="00F646AA" w:rsidRPr="001720BF" w:rsidRDefault="00F646AA" w:rsidP="00F646AA">
      <w:pPr>
        <w:rPr>
          <w:rFonts w:asciiTheme="majorHAnsi" w:hAnsiTheme="majorHAnsi" w:cstheme="majorHAnsi"/>
          <w:b/>
          <w:bCs/>
        </w:rPr>
      </w:pPr>
    </w:p>
    <w:p w14:paraId="49760F05" w14:textId="77777777" w:rsidR="00F646AA" w:rsidRPr="001720BF" w:rsidRDefault="00F646AA" w:rsidP="002F2C6C">
      <w:pPr>
        <w:rPr>
          <w:rFonts w:asciiTheme="majorHAnsi" w:hAnsiTheme="majorHAnsi" w:cstheme="majorHAnsi"/>
          <w:b/>
          <w:bCs/>
        </w:rPr>
      </w:pPr>
    </w:p>
    <w:p w14:paraId="764C9485" w14:textId="74AA243C" w:rsidR="00D0695A" w:rsidRPr="001720BF" w:rsidRDefault="00D0695A">
      <w:pPr>
        <w:rPr>
          <w:rFonts w:asciiTheme="majorHAnsi" w:hAnsiTheme="majorHAnsi" w:cstheme="majorHAnsi"/>
          <w:b/>
          <w:bCs/>
        </w:rPr>
      </w:pPr>
      <w:r w:rsidRPr="001720BF">
        <w:rPr>
          <w:rFonts w:asciiTheme="majorHAnsi" w:hAnsiTheme="majorHAnsi" w:cstheme="majorHAnsi"/>
          <w:b/>
          <w:bCs/>
        </w:rPr>
        <w:t>Inleiding</w:t>
      </w:r>
    </w:p>
    <w:p w14:paraId="30EDD8DC" w14:textId="77777777" w:rsidR="00445792" w:rsidRPr="001720BF" w:rsidRDefault="00000000">
      <w:pPr>
        <w:rPr>
          <w:rFonts w:asciiTheme="majorHAnsi" w:hAnsiTheme="majorHAnsi" w:cstheme="majorHAnsi"/>
        </w:rPr>
      </w:pPr>
      <w:r w:rsidRPr="001720BF">
        <w:rPr>
          <w:rFonts w:asciiTheme="majorHAnsi" w:hAnsiTheme="majorHAnsi" w:cstheme="majorHAnsi"/>
        </w:rPr>
        <w:t>‘De onmenselijkheid van de mens tegenover zijn medemens’ verwijst niet alleen naar wreedheden, maar ook naar verwrongen opvattingen over wat het betekent mens te zijn. Met onjuiste filosofieën die de menselijke waardigheid en de bijzondere plaats van de mens ondermijnen, kunnen we onszelf vernederen (Kolossenzen 2:8). Er bestaan filosofische misdrijven die we tegen onszelf begaan. In zijn beknopte maar diepgravende en fraai geschreven boek The Desecration of Man (Sentinel, 2026) bouwt hoogleraar Carl Trueman voort op zijn recente cultuurkritische werk. Hij legt zorgvuldig uit welke filosofie schuilgaat achter het huwelijk tussen mensen van hetzelfde geslacht, genderideologie, pornografie, abortus, draagmoederschap, dragqueenshows voor kinderen, hulp van artsen bij zelfdoding en in-vitrofertilisatie (ivf). Ook beschrijft hij hoe die filosofie volgens hem steeds meer ruimte schept om zelfs pedofilie en zoöfilie te normaliseren.</w:t>
      </w:r>
    </w:p>
    <w:p w14:paraId="3B2AA34C" w14:textId="77777777" w:rsidR="00D0695A" w:rsidRPr="001720BF" w:rsidRDefault="00D0695A">
      <w:pPr>
        <w:rPr>
          <w:rFonts w:asciiTheme="majorHAnsi" w:hAnsiTheme="majorHAnsi" w:cstheme="majorHAnsi"/>
        </w:rPr>
      </w:pPr>
    </w:p>
    <w:p w14:paraId="2FA53DA0" w14:textId="20B78309" w:rsidR="00445792" w:rsidRPr="001720BF" w:rsidRDefault="00000000">
      <w:pPr>
        <w:rPr>
          <w:rFonts w:asciiTheme="majorHAnsi" w:hAnsiTheme="majorHAnsi" w:cstheme="majorHAnsi"/>
        </w:rPr>
      </w:pPr>
      <w:proofErr w:type="spellStart"/>
      <w:r w:rsidRPr="001720BF">
        <w:rPr>
          <w:rFonts w:asciiTheme="majorHAnsi" w:hAnsiTheme="majorHAnsi" w:cstheme="majorHAnsi"/>
        </w:rPr>
        <w:t>Trueman</w:t>
      </w:r>
      <w:proofErr w:type="spellEnd"/>
      <w:r w:rsidRPr="001720BF">
        <w:rPr>
          <w:rFonts w:asciiTheme="majorHAnsi" w:hAnsiTheme="majorHAnsi" w:cstheme="majorHAnsi"/>
        </w:rPr>
        <w:t xml:space="preserve"> zet hiermee zijn scherpe kritiek op de moderne cultuur voort, zoals hij die eerder uiteenzette in zijn gezaghebbende The Rise and Triumph of the Modern Self (Crossway, 2020), Strange New World (Crossway, 2022) en To Destroy All Worlds (Crossway, 2024). Zijn stelling is dat de afwijzing van God iets ingrijpends en afschuwelijks met zich meebrengt: na de dood van God volgt de ontheiliging van de mens. Maar wat is ontheiliging? Ontheiligen gaat verder dan iets minder waardevol vinden of negeren. Het betekent dat de waarde van iets wordt geschonden of eraan wordt ontnomen. Een standbeeld van het plein halen en in een opslagruimte zetten, is het minder waarde toekennen. Het van zijn sokkel trekken, in stukken slaan en met verwensingen bekladden, is het ontheiligen.</w:t>
      </w:r>
    </w:p>
    <w:p w14:paraId="7139E476" w14:textId="77777777" w:rsidR="00445792" w:rsidRPr="001720BF" w:rsidRDefault="00000000">
      <w:pPr>
        <w:pStyle w:val="Kop1"/>
        <w:rPr>
          <w:rFonts w:cstheme="majorHAnsi"/>
          <w:sz w:val="24"/>
          <w:szCs w:val="24"/>
        </w:rPr>
      </w:pPr>
      <w:r w:rsidRPr="001720BF">
        <w:rPr>
          <w:rFonts w:cstheme="majorHAnsi"/>
          <w:sz w:val="24"/>
          <w:szCs w:val="24"/>
        </w:rPr>
        <w:t>De dood van God en van de mens</w:t>
      </w:r>
    </w:p>
    <w:p w14:paraId="54FE6BB1" w14:textId="77777777" w:rsidR="00445792" w:rsidRPr="001720BF" w:rsidRDefault="00000000">
      <w:pPr>
        <w:rPr>
          <w:rFonts w:asciiTheme="majorHAnsi" w:hAnsiTheme="majorHAnsi" w:cstheme="majorHAnsi"/>
        </w:rPr>
      </w:pPr>
      <w:r w:rsidRPr="001720BF">
        <w:rPr>
          <w:rFonts w:asciiTheme="majorHAnsi" w:hAnsiTheme="majorHAnsi" w:cstheme="majorHAnsi"/>
        </w:rPr>
        <w:t>Hoewel Trueman hem niet aanhaalt, verwoordt de atheïstische psycholoog Erich Fromm (1900–1980), een vertegenwoordiger van de kritische theorie, Truemans grondgedachte in The Sane Society (1955): ‘In de negentiende eeuw was het probleem dat God dood is; in de twintigste eeuw is het probleem dat de mens dood is’ (nadruk in het origineel).[1] Fromm werkte deze gedachte niet verder uit en bood geen antwoord op het probleem. Trueman weet deze tragedie wel te verklaren door de intellectuele en culturele geschiedenis te volgen. Zulke analyses kunnen droog zijn, maar Trueman schrijft helder en met een beheerste urgentie over de invloed van ideeën op mensenlevens en beschavingen. Zijn stelling dat de ontkenning van God leidt tot de ontheiliging van de mens, onderbouwt hij overtuigend.</w:t>
      </w:r>
    </w:p>
    <w:p w14:paraId="3F7643A3" w14:textId="77777777" w:rsidR="00445792" w:rsidRPr="001720BF" w:rsidRDefault="00000000">
      <w:pPr>
        <w:rPr>
          <w:rFonts w:asciiTheme="majorHAnsi" w:hAnsiTheme="majorHAnsi" w:cstheme="majorHAnsi"/>
        </w:rPr>
      </w:pPr>
      <w:r w:rsidRPr="001720BF">
        <w:rPr>
          <w:rFonts w:asciiTheme="majorHAnsi" w:hAnsiTheme="majorHAnsi" w:cstheme="majorHAnsi"/>
        </w:rPr>
        <w:lastRenderedPageBreak/>
        <w:t xml:space="preserve">Al vroeg in zijn boek zegt Trueman dat hij geen apologetisch doel nastreeft (p. xix). Hij wil beschrijven en in kaart brengen welke gevolgen het atheïsme heeft voor ons begrip van het menszijn. Zodra ik dit las, wist ik dat de lezer een apologetisch feestmaal te wachten stond. Trueman was oprecht, maar ik wist dat zijn historische beschrijving op zichzelf al een rijke en krachtige verdediging van het geloof zou vormen, via de geschiedenis van ideeën. Dat geldt tenminste voor iedereen die niet bereid is de gifpil van het nihilisme te slikken. Een aandachtige lezer zal zien dat wie het atheïsme aanvaardt, geen uitzicht heeft op ontsnapping aan het nihilisme. Dit toont de kracht van de negatieve apologetiek: zij kan een niet-christelijk wereldbeeld tot in zijn absurde consequenties doordenken.[2] Natuurlijk zijn sommige mensen zo ver afgedwaald dat zij dit niet meer herkennen (1 Timotheüs 4:2). Een voorbeeld is Peter Singer, bio-ethicus en filosoof aan Princeton, die het doden van zuigelingen </w:t>
      </w:r>
      <w:proofErr w:type="gramStart"/>
      <w:r w:rsidRPr="001720BF">
        <w:rPr>
          <w:rFonts w:asciiTheme="majorHAnsi" w:hAnsiTheme="majorHAnsi" w:cstheme="majorHAnsi"/>
        </w:rPr>
        <w:t>aanvaardt[</w:t>
      </w:r>
      <w:proofErr w:type="gramEnd"/>
      <w:r w:rsidRPr="001720BF">
        <w:rPr>
          <w:rFonts w:asciiTheme="majorHAnsi" w:hAnsiTheme="majorHAnsi" w:cstheme="majorHAnsi"/>
        </w:rPr>
        <w:t>3] en flirt met bestialiteit.[4]</w:t>
      </w:r>
    </w:p>
    <w:p w14:paraId="59F09BC3" w14:textId="77777777" w:rsidR="002F2C6C" w:rsidRPr="001720BF" w:rsidRDefault="002F2C6C">
      <w:pPr>
        <w:rPr>
          <w:rFonts w:asciiTheme="majorHAnsi" w:hAnsiTheme="majorHAnsi" w:cstheme="majorHAnsi"/>
        </w:rPr>
      </w:pPr>
    </w:p>
    <w:p w14:paraId="212E76F3" w14:textId="0C6BFD5C" w:rsidR="002F2C6C" w:rsidRPr="001720BF" w:rsidRDefault="002F2C6C">
      <w:pPr>
        <w:rPr>
          <w:rFonts w:asciiTheme="majorHAnsi" w:hAnsiTheme="majorHAnsi" w:cstheme="majorHAnsi"/>
          <w:b/>
          <w:bCs/>
        </w:rPr>
      </w:pPr>
      <w:proofErr w:type="spellStart"/>
      <w:r w:rsidRPr="001720BF">
        <w:rPr>
          <w:rFonts w:asciiTheme="majorHAnsi" w:hAnsiTheme="majorHAnsi" w:cstheme="majorHAnsi"/>
          <w:b/>
          <w:bCs/>
        </w:rPr>
        <w:t>Achteruitgang</w:t>
      </w:r>
      <w:proofErr w:type="spellEnd"/>
      <w:r w:rsidRPr="001720BF">
        <w:rPr>
          <w:rFonts w:asciiTheme="majorHAnsi" w:hAnsiTheme="majorHAnsi" w:cstheme="majorHAnsi"/>
          <w:b/>
          <w:bCs/>
        </w:rPr>
        <w:t xml:space="preserve"> van de westerse cultuur</w:t>
      </w:r>
    </w:p>
    <w:p w14:paraId="370D91FE" w14:textId="77777777" w:rsidR="00445792" w:rsidRPr="001720BF" w:rsidRDefault="00000000">
      <w:pPr>
        <w:rPr>
          <w:rFonts w:asciiTheme="majorHAnsi" w:hAnsiTheme="majorHAnsi" w:cstheme="majorHAnsi"/>
        </w:rPr>
      </w:pPr>
      <w:r w:rsidRPr="001720BF">
        <w:rPr>
          <w:rFonts w:asciiTheme="majorHAnsi" w:hAnsiTheme="majorHAnsi" w:cstheme="majorHAnsi"/>
        </w:rPr>
        <w:t>Wat ik in 1976 als jonge christen begon in te zien, is waar gebleken in al die jaren van onderzoek, schrijven, lesgeven, preken, getuigen, maatschappelijke inzet en begeleiding van anderen. Niet alleen moeten individuele mensen Jezus Christus leren kennen als Heer en Verlosser; ook de westerse cultuur zal verder achteruitgaan wanneer zij haar christelijke erfenis verwaarloost of openlijk afwijst, in de filosofie, de kunsten, de politiek en op ieder ander levensterrein. Het christelijke wereldbeeld is objectief waar, rationeel gefundeerd en van wezenlijke betekenis voor het hele bestaan. Wanneer mensen en culturen de christelijke levensvisie en levenswijze afwijzen, verliezen zij daarom hun houvast aan de werkelijkheid, het goede en het schone. Zoals God in de Schrift waarschuwt: wanneer Zijn Woord en wil worden genegeerd, volgen verval en vernietiging.</w:t>
      </w:r>
    </w:p>
    <w:p w14:paraId="5F4089FE" w14:textId="77777777" w:rsidR="002F2C6C" w:rsidRPr="001720BF" w:rsidRDefault="002F2C6C">
      <w:pPr>
        <w:rPr>
          <w:rFonts w:asciiTheme="majorHAnsi" w:hAnsiTheme="majorHAnsi" w:cstheme="majorHAnsi"/>
        </w:rPr>
      </w:pPr>
    </w:p>
    <w:p w14:paraId="1EA68595" w14:textId="71A29B06" w:rsidR="00445792" w:rsidRPr="001720BF" w:rsidRDefault="002F2C6C">
      <w:pPr>
        <w:spacing w:after="60"/>
        <w:ind w:left="340" w:right="227"/>
        <w:rPr>
          <w:rFonts w:asciiTheme="majorHAnsi" w:hAnsiTheme="majorHAnsi" w:cstheme="majorHAnsi"/>
        </w:rPr>
      </w:pPr>
      <w:r w:rsidRPr="001720BF">
        <w:rPr>
          <w:rFonts w:asciiTheme="majorHAnsi" w:hAnsiTheme="majorHAnsi" w:cstheme="majorHAnsi"/>
          <w:i/>
        </w:rPr>
        <w:t>Zonder profetie vervalt het volk tot bandeloosheid. Wie de wet in acht neemt, is gelukkig</w:t>
      </w:r>
      <w:r w:rsidR="00000000" w:rsidRPr="001720BF">
        <w:rPr>
          <w:rFonts w:asciiTheme="majorHAnsi" w:hAnsiTheme="majorHAnsi" w:cstheme="majorHAnsi"/>
          <w:i/>
        </w:rPr>
        <w:t>. (Spreuken 29:18)</w:t>
      </w:r>
    </w:p>
    <w:p w14:paraId="6963E267" w14:textId="77777777" w:rsidR="002F2C6C" w:rsidRPr="001720BF" w:rsidRDefault="002F2C6C">
      <w:pPr>
        <w:spacing w:after="60"/>
        <w:ind w:left="340" w:right="227"/>
        <w:rPr>
          <w:rFonts w:asciiTheme="majorHAnsi" w:hAnsiTheme="majorHAnsi" w:cstheme="majorHAnsi"/>
          <w:i/>
        </w:rPr>
      </w:pPr>
    </w:p>
    <w:p w14:paraId="755F6377" w14:textId="06223550" w:rsidR="00445792" w:rsidRPr="001720BF" w:rsidRDefault="00000000">
      <w:pPr>
        <w:spacing w:after="60"/>
        <w:ind w:left="340" w:right="227"/>
        <w:rPr>
          <w:rFonts w:asciiTheme="majorHAnsi" w:hAnsiTheme="majorHAnsi" w:cstheme="majorHAnsi"/>
        </w:rPr>
      </w:pPr>
      <w:r w:rsidRPr="001720BF">
        <w:rPr>
          <w:rFonts w:asciiTheme="majorHAnsi" w:hAnsiTheme="majorHAnsi" w:cstheme="majorHAnsi"/>
          <w:i/>
        </w:rPr>
        <w:t>Mijn volk gaat te gronde door gebrek aan kennis.</w:t>
      </w:r>
    </w:p>
    <w:p w14:paraId="6777D13A" w14:textId="77777777" w:rsidR="00445792" w:rsidRPr="001720BF" w:rsidRDefault="00000000">
      <w:pPr>
        <w:spacing w:after="60"/>
        <w:ind w:left="340" w:right="227"/>
        <w:rPr>
          <w:rFonts w:asciiTheme="majorHAnsi" w:hAnsiTheme="majorHAnsi" w:cstheme="majorHAnsi"/>
        </w:rPr>
      </w:pPr>
      <w:r w:rsidRPr="001720BF">
        <w:rPr>
          <w:rFonts w:asciiTheme="majorHAnsi" w:hAnsiTheme="majorHAnsi" w:cstheme="majorHAnsi"/>
          <w:i/>
        </w:rPr>
        <w:t>Omdat u de kennis hebt verworpen,</w:t>
      </w:r>
    </w:p>
    <w:p w14:paraId="7AA287CA" w14:textId="77777777" w:rsidR="00445792" w:rsidRPr="001720BF" w:rsidRDefault="00000000">
      <w:pPr>
        <w:spacing w:after="60"/>
        <w:ind w:left="340" w:right="227"/>
        <w:rPr>
          <w:rFonts w:asciiTheme="majorHAnsi" w:hAnsiTheme="majorHAnsi" w:cstheme="majorHAnsi"/>
        </w:rPr>
      </w:pPr>
      <w:r w:rsidRPr="001720BF">
        <w:rPr>
          <w:rFonts w:asciiTheme="majorHAnsi" w:hAnsiTheme="majorHAnsi" w:cstheme="majorHAnsi"/>
          <w:i/>
        </w:rPr>
        <w:t>verwerp Ik ook u als Mijn priesters;</w:t>
      </w:r>
    </w:p>
    <w:p w14:paraId="48405BE6" w14:textId="77777777" w:rsidR="00445792" w:rsidRPr="001720BF" w:rsidRDefault="00000000">
      <w:pPr>
        <w:spacing w:after="60"/>
        <w:ind w:left="340" w:right="227"/>
        <w:rPr>
          <w:rFonts w:asciiTheme="majorHAnsi" w:hAnsiTheme="majorHAnsi" w:cstheme="majorHAnsi"/>
        </w:rPr>
      </w:pPr>
      <w:r w:rsidRPr="001720BF">
        <w:rPr>
          <w:rFonts w:asciiTheme="majorHAnsi" w:hAnsiTheme="majorHAnsi" w:cstheme="majorHAnsi"/>
          <w:i/>
        </w:rPr>
        <w:t>omdat u de wet van uw God bent vergeten,</w:t>
      </w:r>
    </w:p>
    <w:p w14:paraId="681268A2" w14:textId="77777777" w:rsidR="00445792" w:rsidRPr="001720BF" w:rsidRDefault="00000000">
      <w:pPr>
        <w:spacing w:after="60"/>
        <w:ind w:left="340" w:right="227"/>
        <w:rPr>
          <w:rFonts w:asciiTheme="majorHAnsi" w:hAnsiTheme="majorHAnsi" w:cstheme="majorHAnsi"/>
        </w:rPr>
      </w:pPr>
      <w:r w:rsidRPr="001720BF">
        <w:rPr>
          <w:rFonts w:asciiTheme="majorHAnsi" w:hAnsiTheme="majorHAnsi" w:cstheme="majorHAnsi"/>
          <w:i/>
        </w:rPr>
        <w:t xml:space="preserve">zal ook Ik uw kinderen vergeten. (Hosea </w:t>
      </w:r>
      <w:proofErr w:type="gramStart"/>
      <w:r w:rsidRPr="001720BF">
        <w:rPr>
          <w:rFonts w:asciiTheme="majorHAnsi" w:hAnsiTheme="majorHAnsi" w:cstheme="majorHAnsi"/>
          <w:i/>
        </w:rPr>
        <w:t>4:6)[</w:t>
      </w:r>
      <w:proofErr w:type="gramEnd"/>
      <w:r w:rsidRPr="001720BF">
        <w:rPr>
          <w:rFonts w:asciiTheme="majorHAnsi" w:hAnsiTheme="majorHAnsi" w:cstheme="majorHAnsi"/>
          <w:i/>
        </w:rPr>
        <w:t>5]</w:t>
      </w:r>
    </w:p>
    <w:p w14:paraId="34538CAE" w14:textId="77777777" w:rsidR="002F2C6C" w:rsidRPr="001720BF" w:rsidRDefault="002F2C6C">
      <w:pPr>
        <w:rPr>
          <w:rFonts w:asciiTheme="majorHAnsi" w:hAnsiTheme="majorHAnsi" w:cstheme="majorHAnsi"/>
        </w:rPr>
      </w:pPr>
    </w:p>
    <w:p w14:paraId="25450624" w14:textId="270CE255" w:rsidR="00445792" w:rsidRPr="001720BF" w:rsidRDefault="00000000">
      <w:pPr>
        <w:rPr>
          <w:rFonts w:asciiTheme="majorHAnsi" w:hAnsiTheme="majorHAnsi" w:cstheme="majorHAnsi"/>
        </w:rPr>
      </w:pPr>
      <w:r w:rsidRPr="001720BF">
        <w:rPr>
          <w:rFonts w:asciiTheme="majorHAnsi" w:hAnsiTheme="majorHAnsi" w:cstheme="majorHAnsi"/>
        </w:rPr>
        <w:t>Ook Gods Wijsheid spreekt:</w:t>
      </w:r>
    </w:p>
    <w:p w14:paraId="64094D25" w14:textId="77777777" w:rsidR="00445792" w:rsidRPr="001720BF" w:rsidRDefault="00000000">
      <w:pPr>
        <w:spacing w:after="60"/>
        <w:ind w:left="340" w:right="227"/>
        <w:rPr>
          <w:rFonts w:asciiTheme="majorHAnsi" w:hAnsiTheme="majorHAnsi" w:cstheme="majorHAnsi"/>
        </w:rPr>
      </w:pPr>
      <w:r w:rsidRPr="001720BF">
        <w:rPr>
          <w:rFonts w:asciiTheme="majorHAnsi" w:hAnsiTheme="majorHAnsi" w:cstheme="majorHAnsi"/>
          <w:i/>
        </w:rPr>
        <w:t>Wie mij vindt, vindt het leven</w:t>
      </w:r>
    </w:p>
    <w:p w14:paraId="53E17BE0" w14:textId="77777777" w:rsidR="00445792" w:rsidRPr="001720BF" w:rsidRDefault="00000000">
      <w:pPr>
        <w:spacing w:after="60"/>
        <w:ind w:left="340" w:right="227"/>
        <w:rPr>
          <w:rFonts w:asciiTheme="majorHAnsi" w:hAnsiTheme="majorHAnsi" w:cstheme="majorHAnsi"/>
        </w:rPr>
      </w:pPr>
      <w:r w:rsidRPr="001720BF">
        <w:rPr>
          <w:rFonts w:asciiTheme="majorHAnsi" w:hAnsiTheme="majorHAnsi" w:cstheme="majorHAnsi"/>
          <w:i/>
        </w:rPr>
        <w:t>en ontvangt de gunst van de HEER.</w:t>
      </w:r>
    </w:p>
    <w:p w14:paraId="0C5A2EBF" w14:textId="77777777" w:rsidR="00445792" w:rsidRPr="001720BF" w:rsidRDefault="00000000">
      <w:pPr>
        <w:spacing w:after="60"/>
        <w:ind w:left="340" w:right="227"/>
        <w:rPr>
          <w:rFonts w:asciiTheme="majorHAnsi" w:hAnsiTheme="majorHAnsi" w:cstheme="majorHAnsi"/>
        </w:rPr>
      </w:pPr>
      <w:r w:rsidRPr="001720BF">
        <w:rPr>
          <w:rFonts w:asciiTheme="majorHAnsi" w:hAnsiTheme="majorHAnsi" w:cstheme="majorHAnsi"/>
          <w:i/>
        </w:rPr>
        <w:t>Maar wie mij niet vindt, doet zichzelf kwaad;</w:t>
      </w:r>
    </w:p>
    <w:p w14:paraId="7AC01E37" w14:textId="77777777" w:rsidR="00445792" w:rsidRPr="001720BF" w:rsidRDefault="00000000">
      <w:pPr>
        <w:spacing w:after="60"/>
        <w:ind w:left="340" w:right="227"/>
        <w:rPr>
          <w:rFonts w:asciiTheme="majorHAnsi" w:hAnsiTheme="majorHAnsi" w:cstheme="majorHAnsi"/>
        </w:rPr>
      </w:pPr>
      <w:r w:rsidRPr="001720BF">
        <w:rPr>
          <w:rFonts w:asciiTheme="majorHAnsi" w:hAnsiTheme="majorHAnsi" w:cstheme="majorHAnsi"/>
          <w:i/>
        </w:rPr>
        <w:t xml:space="preserve">allen die mij haten, hebben </w:t>
      </w:r>
      <w:proofErr w:type="gramStart"/>
      <w:r w:rsidRPr="001720BF">
        <w:rPr>
          <w:rFonts w:asciiTheme="majorHAnsi" w:hAnsiTheme="majorHAnsi" w:cstheme="majorHAnsi"/>
          <w:i/>
        </w:rPr>
        <w:t>de dood lief</w:t>
      </w:r>
      <w:proofErr w:type="gramEnd"/>
      <w:r w:rsidRPr="001720BF">
        <w:rPr>
          <w:rFonts w:asciiTheme="majorHAnsi" w:hAnsiTheme="majorHAnsi" w:cstheme="majorHAnsi"/>
          <w:i/>
        </w:rPr>
        <w:t>. (Spreuken 8:35–36)</w:t>
      </w:r>
    </w:p>
    <w:p w14:paraId="3754131A" w14:textId="77777777" w:rsidR="00445792" w:rsidRPr="001720BF" w:rsidRDefault="00000000">
      <w:pPr>
        <w:pStyle w:val="Kop1"/>
        <w:rPr>
          <w:rFonts w:cstheme="majorHAnsi"/>
          <w:sz w:val="24"/>
          <w:szCs w:val="24"/>
        </w:rPr>
      </w:pPr>
      <w:r w:rsidRPr="001720BF">
        <w:rPr>
          <w:rFonts w:cstheme="majorHAnsi"/>
          <w:sz w:val="24"/>
          <w:szCs w:val="24"/>
        </w:rPr>
        <w:t>Onze postchristelijke samenleving</w:t>
      </w:r>
    </w:p>
    <w:p w14:paraId="2F6D8E4F" w14:textId="77777777" w:rsidR="00445792" w:rsidRPr="001720BF" w:rsidRDefault="00000000">
      <w:pPr>
        <w:rPr>
          <w:rFonts w:asciiTheme="majorHAnsi" w:hAnsiTheme="majorHAnsi" w:cstheme="majorHAnsi"/>
        </w:rPr>
      </w:pPr>
      <w:r w:rsidRPr="001720BF">
        <w:rPr>
          <w:rFonts w:asciiTheme="majorHAnsi" w:hAnsiTheme="majorHAnsi" w:cstheme="majorHAnsi"/>
        </w:rPr>
        <w:t xml:space="preserve">Een postchristelijke samenleving kan dan ook slechts verder wegzakken in misleiding, ondeugd en lelijkheid. Welke tekenen van geestelijke opleving we vandaag ook menen te zien, de westerse beschaving is in cultureel en politiek opzicht postchristelijk. Het verval zit namelijk diep in onze denkpatronen en instituties, vooral in de psychologie, de kunsten en het onderwijs. Ik herkende dit patroon voor het eerst in 1976, toen ik het profetische en </w:t>
      </w:r>
      <w:r w:rsidRPr="001720BF">
        <w:rPr>
          <w:rFonts w:asciiTheme="majorHAnsi" w:hAnsiTheme="majorHAnsi" w:cstheme="majorHAnsi"/>
        </w:rPr>
        <w:lastRenderedPageBreak/>
        <w:t>diepgravende boek The God Who Is There (1968) las van de christelijke filosoof en apologeet Francis Schaeffer. In Death in the City (1969) noemde hij Amerika ‘postchristelijk’, omdat wij ons van God hadden afgekeerd. Onze opstand is geen onbetekenend gebaar. Zij roept Gods oordeel over ons af. Zoals Schaeffer (1912–1984) schreef:</w:t>
      </w:r>
    </w:p>
    <w:p w14:paraId="0C8FF282" w14:textId="77777777" w:rsidR="002F2C6C" w:rsidRPr="001720BF" w:rsidRDefault="002F2C6C">
      <w:pPr>
        <w:spacing w:after="60"/>
        <w:ind w:left="340" w:right="227"/>
        <w:rPr>
          <w:rFonts w:asciiTheme="majorHAnsi" w:hAnsiTheme="majorHAnsi" w:cstheme="majorHAnsi"/>
          <w:i/>
        </w:rPr>
      </w:pPr>
    </w:p>
    <w:p w14:paraId="18F93994" w14:textId="6E3BF0C0" w:rsidR="00445792" w:rsidRPr="001720BF" w:rsidRDefault="00000000">
      <w:pPr>
        <w:spacing w:after="60"/>
        <w:ind w:left="340" w:right="227"/>
        <w:rPr>
          <w:rFonts w:asciiTheme="majorHAnsi" w:hAnsiTheme="majorHAnsi" w:cstheme="majorHAnsi"/>
        </w:rPr>
      </w:pPr>
      <w:r w:rsidRPr="001720BF">
        <w:rPr>
          <w:rFonts w:asciiTheme="majorHAnsi" w:hAnsiTheme="majorHAnsi" w:cstheme="majorHAnsi"/>
          <w:i/>
        </w:rPr>
        <w:t>Gods hand rust oordelend op onze cultuur, en mensen lijden honger. Anders dan Zeus, van wie mensen zich voorstelden dat hij grote bliksemschichten neerwierp, heeft God Zich in Zijn oordeel afgewend, zoals onze generatie zich van Hem heeft afgewend. Hij laat oorzaak en gevolg hun loop nemen in de geschiedenis.[6]</w:t>
      </w:r>
    </w:p>
    <w:p w14:paraId="2C22A42E" w14:textId="77777777" w:rsidR="00445792" w:rsidRPr="001720BF" w:rsidRDefault="00000000">
      <w:pPr>
        <w:rPr>
          <w:rFonts w:asciiTheme="majorHAnsi" w:hAnsiTheme="majorHAnsi" w:cstheme="majorHAnsi"/>
        </w:rPr>
      </w:pPr>
      <w:r w:rsidRPr="001720BF">
        <w:rPr>
          <w:rFonts w:asciiTheme="majorHAnsi" w:hAnsiTheme="majorHAnsi" w:cstheme="majorHAnsi"/>
        </w:rPr>
        <w:t>Dit verband van oorzaak en gevolg werkt door in ideeën en wereldbeelden, in maatschappelijke praktijken zoals het gebruik van technologie, en in de gedeelde verbeelding van een cultuur. Filosoof Charles Taylor noemt dit een ‘social imaginary’, een begrip dat Trueman vaak gebruikt. Het gaat om wat bij mensen vanzelf opkomt aan gevoelens, waarden en keuzemogelijkheden. Hoewel Trueman hem niet noemt, sprak godsdienstsocioloog Peter L. Berger (1929–2017) in A Rumor of Angels (1969) over een ‘plausibiliteitsstructuur’: het vanzelfsprekende kader waarbinnen iets geloofwaardig lijkt.</w:t>
      </w:r>
    </w:p>
    <w:p w14:paraId="6FD9A659" w14:textId="77777777" w:rsidR="002F2C6C" w:rsidRPr="001720BF" w:rsidRDefault="002F2C6C">
      <w:pPr>
        <w:spacing w:after="60"/>
        <w:ind w:left="340" w:right="227"/>
        <w:rPr>
          <w:rFonts w:asciiTheme="majorHAnsi" w:hAnsiTheme="majorHAnsi" w:cstheme="majorHAnsi"/>
          <w:i/>
        </w:rPr>
      </w:pPr>
    </w:p>
    <w:p w14:paraId="48014224" w14:textId="09572957" w:rsidR="00445792" w:rsidRPr="001720BF" w:rsidRDefault="00000000">
      <w:pPr>
        <w:spacing w:after="60"/>
        <w:ind w:left="340" w:right="227"/>
        <w:rPr>
          <w:rFonts w:asciiTheme="majorHAnsi" w:hAnsiTheme="majorHAnsi" w:cstheme="majorHAnsi"/>
        </w:rPr>
      </w:pPr>
      <w:r w:rsidRPr="001720BF">
        <w:rPr>
          <w:rFonts w:asciiTheme="majorHAnsi" w:hAnsiTheme="majorHAnsi" w:cstheme="majorHAnsi"/>
          <w:i/>
        </w:rPr>
        <w:t xml:space="preserve">Een van de grondstellingen van de kennissociologie is dat de aannemelijkheid van opvattingen over de werkelijkheid — in de zin van wat mensen daadwerkelijk geloofwaardig vinden — afhankelijk is van de maatschappelijke steun die deze opvattingen krijgen. Eenvoudiger gezegd: onze ideeën over de wereld ontlenen we </w:t>
      </w:r>
      <w:proofErr w:type="gramStart"/>
      <w:r w:rsidRPr="001720BF">
        <w:rPr>
          <w:rFonts w:asciiTheme="majorHAnsi" w:hAnsiTheme="majorHAnsi" w:cstheme="majorHAnsi"/>
          <w:i/>
        </w:rPr>
        <w:t>aanvankelijk</w:t>
      </w:r>
      <w:proofErr w:type="gramEnd"/>
      <w:r w:rsidRPr="001720BF">
        <w:rPr>
          <w:rFonts w:asciiTheme="majorHAnsi" w:hAnsiTheme="majorHAnsi" w:cstheme="majorHAnsi"/>
          <w:i/>
        </w:rPr>
        <w:t xml:space="preserve"> aan andere mensen. Die ideeën blijven voor ons voor een groot deel aannemelijk doordat anderen ze blijven bevestigen.[7]</w:t>
      </w:r>
    </w:p>
    <w:p w14:paraId="73533937" w14:textId="77777777" w:rsidR="00445792" w:rsidRPr="001720BF" w:rsidRDefault="00000000">
      <w:pPr>
        <w:rPr>
          <w:rFonts w:asciiTheme="majorHAnsi" w:hAnsiTheme="majorHAnsi" w:cstheme="majorHAnsi"/>
        </w:rPr>
      </w:pPr>
      <w:r w:rsidRPr="001720BF">
        <w:rPr>
          <w:rFonts w:asciiTheme="majorHAnsi" w:hAnsiTheme="majorHAnsi" w:cstheme="majorHAnsi"/>
        </w:rPr>
        <w:t>Goddeloosheid kan bewust en weloverwogen zijn, zoals bij iemand als Richard Dawkins. Maar je kunt haar ook ongemerkt overnemen uit de culturele omgeving: via films, advertenties, berichten op Facebook en X, en allerlei andere kanalen.</w:t>
      </w:r>
    </w:p>
    <w:p w14:paraId="5AC6E086" w14:textId="77777777" w:rsidR="00445792" w:rsidRPr="001720BF" w:rsidRDefault="00000000">
      <w:pPr>
        <w:pStyle w:val="Kop1"/>
        <w:rPr>
          <w:rFonts w:cstheme="majorHAnsi"/>
          <w:sz w:val="24"/>
          <w:szCs w:val="24"/>
        </w:rPr>
      </w:pPr>
      <w:r w:rsidRPr="001720BF">
        <w:rPr>
          <w:rFonts w:cstheme="majorHAnsi"/>
          <w:sz w:val="24"/>
          <w:szCs w:val="24"/>
        </w:rPr>
        <w:t>Het oordeel van de dolle mens</w:t>
      </w:r>
    </w:p>
    <w:p w14:paraId="1AA063F3" w14:textId="77777777" w:rsidR="00445792" w:rsidRPr="001720BF" w:rsidRDefault="00000000">
      <w:pPr>
        <w:rPr>
          <w:rFonts w:asciiTheme="majorHAnsi" w:hAnsiTheme="majorHAnsi" w:cstheme="majorHAnsi"/>
        </w:rPr>
      </w:pPr>
      <w:r w:rsidRPr="001720BF">
        <w:rPr>
          <w:rFonts w:asciiTheme="majorHAnsi" w:hAnsiTheme="majorHAnsi" w:cstheme="majorHAnsi"/>
        </w:rPr>
        <w:t>Trueman grijpt terug op Friedrich Nietzsches gelijkenis van ‘de dolle mens’. Daarin zoekt een man naar God, maar vindt Hem niet, want ‘God is dood’. ‘Wij hebben hem gedood’, zegt hij. Vervolgens beschrijft hij op poëtische wijze de filosofische en psychologische gevolgen van een wereld zonder God.[8] Anders dan veel tijdgenoten begreep Nietzsche dat, wanneer we het bestaan van de christelijke God ontkennen, uiteindelijk ook alle waarden, morele normen en gebruiken die van God afhankelijk waren, met Hem moeten sterven. Om deze onvermijdelijke ramp zichtbaar te maken, laat hij een stroom beelden op de lezer los. Die verdient een uitvoerig citaat:</w:t>
      </w:r>
    </w:p>
    <w:p w14:paraId="16273101" w14:textId="77777777" w:rsidR="00445792" w:rsidRPr="001720BF" w:rsidRDefault="00000000">
      <w:pPr>
        <w:spacing w:after="60"/>
        <w:ind w:left="340" w:right="227"/>
        <w:rPr>
          <w:rFonts w:asciiTheme="majorHAnsi" w:hAnsiTheme="majorHAnsi" w:cstheme="majorHAnsi"/>
        </w:rPr>
      </w:pPr>
      <w:r w:rsidRPr="001720BF">
        <w:rPr>
          <w:rFonts w:asciiTheme="majorHAnsi" w:hAnsiTheme="majorHAnsi" w:cstheme="majorHAnsi"/>
          <w:i/>
        </w:rPr>
        <w:t>Hoe konden wij de zee leegdrinken? Wie gaf ons de spons om de hele horizon uit te wissen? Wat deden wij toen wij deze aarde van haar zon losmaakten? Waarheen beweegt zij nu? Waarheen bewegen wij ons? Weg van alle zonnen? Vallen wij niet voortdurend? Achterwaarts, zijwaarts, voorwaarts, alle kanten op? Bestaat er nog een boven en een beneden? Dwalen wij niet als door een oneindig niets? Voelen wij niet de adem van de lege ruimte? Is het niet kouder geworden? Komt er niet voortdurend nacht, steeds meer nacht? Moeten er niet al in de ochtend lantaarns worden aangestoken? Horen wij nog niets van het rumoer van de doodgravers die God begraven? Ruiken wij nog niets van Gods ontbinding? Ook goden ontbinden. God is dood. God blijft dood. En wij hebben hem gedood.[9]</w:t>
      </w:r>
    </w:p>
    <w:p w14:paraId="788FB107" w14:textId="77777777" w:rsidR="00445792" w:rsidRPr="001720BF" w:rsidRDefault="00000000">
      <w:pPr>
        <w:rPr>
          <w:rFonts w:asciiTheme="majorHAnsi" w:hAnsiTheme="majorHAnsi" w:cstheme="majorHAnsi"/>
        </w:rPr>
      </w:pPr>
      <w:r w:rsidRPr="001720BF">
        <w:rPr>
          <w:rFonts w:asciiTheme="majorHAnsi" w:hAnsiTheme="majorHAnsi" w:cstheme="majorHAnsi"/>
        </w:rPr>
        <w:lastRenderedPageBreak/>
        <w:t>De dolle mens zegt vervolgens dat hij ‘te vroeg’ is gekomen.[10] Het zal tijd kosten voordat de gevolgen van de dood van God in de geschiedenis zichtbaar worden. Hij had gelijk. Nietzsche (1844–1900) heeft daar zelf nog niet veel van meegemaakt. Wij wel, en wij dragen verantwoordelijkheid voor wat wij zien.</w:t>
      </w:r>
    </w:p>
    <w:p w14:paraId="3B874631" w14:textId="77777777" w:rsidR="00445792" w:rsidRPr="001720BF" w:rsidRDefault="00000000">
      <w:pPr>
        <w:rPr>
          <w:rFonts w:asciiTheme="majorHAnsi" w:hAnsiTheme="majorHAnsi" w:cstheme="majorHAnsi"/>
        </w:rPr>
      </w:pPr>
      <w:r w:rsidRPr="001720BF">
        <w:rPr>
          <w:rFonts w:asciiTheme="majorHAnsi" w:hAnsiTheme="majorHAnsi" w:cstheme="majorHAnsi"/>
        </w:rPr>
        <w:t>Wanneer God en het heilige worden verdreven uit de rechtmatige, richtinggevende plaats die hun in de maatschappelijke instituties toekomt, blijven slechts geëvolueerde dieren over. Zij functioneren volgens instinct en maatschappelijke conditionering en hoeven geen verantwoording af te leggen aan een objectieve maatstaf voor goed en kwaad, juist en onjuist, deugd en ondeugd. Noch mensen, noch iets anders heeft dan een gegeven telos: een bestemming, een doel voor het bestaan. Alle betekenis wordt daarentegen toegekend door het autonome zelf, dat inmiddels vooral wordt gedreven door het verlangen naar genot en erotische bevrediging. Trueman noemt dit ‘expressief individualisme’, een gedachte die hij uitvoerig uitwerkt in The Rise and Triumph of the Modern Self.[11]</w:t>
      </w:r>
    </w:p>
    <w:p w14:paraId="52757813" w14:textId="77777777" w:rsidR="00F646AA" w:rsidRPr="001720BF" w:rsidRDefault="00F646AA">
      <w:pPr>
        <w:rPr>
          <w:rFonts w:asciiTheme="majorHAnsi" w:hAnsiTheme="majorHAnsi" w:cstheme="majorHAnsi"/>
        </w:rPr>
      </w:pPr>
    </w:p>
    <w:p w14:paraId="479D0458" w14:textId="1DB1D1A7" w:rsidR="00F646AA" w:rsidRPr="001720BF" w:rsidRDefault="00F646AA">
      <w:pPr>
        <w:rPr>
          <w:rFonts w:asciiTheme="majorHAnsi" w:hAnsiTheme="majorHAnsi" w:cstheme="majorHAnsi"/>
          <w:b/>
          <w:bCs/>
        </w:rPr>
      </w:pPr>
      <w:r w:rsidRPr="001720BF">
        <w:rPr>
          <w:rFonts w:asciiTheme="majorHAnsi" w:hAnsiTheme="majorHAnsi" w:cstheme="majorHAnsi"/>
          <w:b/>
          <w:bCs/>
        </w:rPr>
        <w:t>Seksuele revolutie</w:t>
      </w:r>
    </w:p>
    <w:p w14:paraId="4F9C87D0" w14:textId="7F8C621E" w:rsidR="00445792" w:rsidRPr="001720BF" w:rsidRDefault="00000000">
      <w:pPr>
        <w:rPr>
          <w:rFonts w:asciiTheme="majorHAnsi" w:hAnsiTheme="majorHAnsi" w:cstheme="majorHAnsi"/>
        </w:rPr>
      </w:pPr>
      <w:r w:rsidRPr="001720BF">
        <w:rPr>
          <w:rFonts w:asciiTheme="majorHAnsi" w:hAnsiTheme="majorHAnsi" w:cstheme="majorHAnsi"/>
        </w:rPr>
        <w:t>Volgens deze opvatting is de persoonlijke identiteit flexibel, verwisselbaar en veranderlijk, zonder verankering in een moreel gezag buiten het zelf. Het begrip zelfverloochening wordt daardoor onbegrijpelijk: het zelf is immers het middelpunt en de bron van betekenis. Jezus’ uitnodiging om jezelf te verloochenen en Hem te volgen op de weg van Gods Koninkrijk (Lukas 9:23–26), zou dan geen basis in de werkelijkheid hebben. Ook zonde verdwijnt als begrip, want van zonde kan alleen sprake zijn als er een God is tegen wie men zondigt.</w:t>
      </w:r>
    </w:p>
    <w:p w14:paraId="43131160" w14:textId="77777777" w:rsidR="00445792" w:rsidRPr="001720BF" w:rsidRDefault="00000000">
      <w:pPr>
        <w:rPr>
          <w:rFonts w:asciiTheme="majorHAnsi" w:hAnsiTheme="majorHAnsi" w:cstheme="majorHAnsi"/>
        </w:rPr>
      </w:pPr>
      <w:r w:rsidRPr="001720BF">
        <w:rPr>
          <w:rFonts w:asciiTheme="majorHAnsi" w:hAnsiTheme="majorHAnsi" w:cstheme="majorHAnsi"/>
        </w:rPr>
        <w:t>De seksuele revolutie kwam voort uit de atheïstische seksuele ethiek van mensen als Alfred Kinsey, Wilhelm Reich en John Money. Kinseys ondeugdelijke onderzoek werd gebruikt om perversiteit te rechtvaardigen als iets wat wijdverbreid en normaal zou zijn. Dat leidde vervolgens tot een verdere neergang in de vorm van genderideologie. Die verzet zich tegen iedere gedachte aan een geschapen orde en maakt de seksuele identiteit — en niet alleen het gedrag — tot een kwestie van willekeurige keuze. Zonder morele maatstaf en zonder een in de schepping gegeven telos zijn mensen dieren die naar wens en naar de mogelijkheden van medische technologie kunnen worden gemanipuleerd. Mannen kunnen vrouwen worden. Vrouwen kunnen mannen worden. Het huwelijk wordt uitgebreid tot verbintenissen tussen mensen van hetzelfde geslacht, en er is dan evenmin een reden om het huwelijk tot twee personen te beperken. Zo wordt ook polyamorie een mogelijkheid.</w:t>
      </w:r>
    </w:p>
    <w:p w14:paraId="4614FA1C" w14:textId="77777777" w:rsidR="00F646AA" w:rsidRPr="001720BF" w:rsidRDefault="00000000">
      <w:pPr>
        <w:rPr>
          <w:rFonts w:asciiTheme="majorHAnsi" w:hAnsiTheme="majorHAnsi" w:cstheme="majorHAnsi"/>
        </w:rPr>
      </w:pPr>
      <w:r w:rsidRPr="001720BF">
        <w:rPr>
          <w:rFonts w:asciiTheme="majorHAnsi" w:hAnsiTheme="majorHAnsi" w:cstheme="majorHAnsi"/>
        </w:rPr>
        <w:t xml:space="preserve">Seksualiteit wordt losgemaakt van haar heilige context: de eenwording van man en vrouw tot één vlees, gericht op het krijgen en grootbrengen van kinderen. Het Bijbelse model wordt terzijde geschoven, want er is geen God meer die normen voor seksualiteit en voortplanting kan vaststellen. Anticonceptie en abortus kunnen de ongewenste last wegnemen van kinderen die uit seks voortkomen, terwijl via ivf kinderen zonder seks kunnen worden verwekt. Bij deze behandeling ontstaan meer bevruchte eicellen dan er worden ingebracht. Dat leidt ertoe dat de overige worden vernietigd of voor onbepaalde tijd opgeslagen. Mensen in de vroegste fase van hun bestaan worden zo tot gebruiksvoorwerpen gemaakt, waarvan het voortbestaan afhangt van de moreel onverschillige verlangens van anderen. Dat ontheiligt het beeld van God, want ieder mens heeft het recht om niet vermoord te worden. </w:t>
      </w:r>
    </w:p>
    <w:p w14:paraId="7F421F94" w14:textId="77777777" w:rsidR="00F646AA" w:rsidRPr="001720BF" w:rsidRDefault="00F646AA">
      <w:pPr>
        <w:rPr>
          <w:rFonts w:asciiTheme="majorHAnsi" w:hAnsiTheme="majorHAnsi" w:cstheme="majorHAnsi"/>
        </w:rPr>
      </w:pPr>
    </w:p>
    <w:p w14:paraId="1010843C" w14:textId="77777777" w:rsidR="00F646AA" w:rsidRPr="001720BF" w:rsidRDefault="00F646AA">
      <w:pPr>
        <w:rPr>
          <w:rFonts w:asciiTheme="majorHAnsi" w:hAnsiTheme="majorHAnsi" w:cstheme="majorHAnsi"/>
          <w:b/>
          <w:bCs/>
        </w:rPr>
      </w:pPr>
      <w:r w:rsidRPr="001720BF">
        <w:rPr>
          <w:rFonts w:asciiTheme="majorHAnsi" w:hAnsiTheme="majorHAnsi" w:cstheme="majorHAnsi"/>
          <w:b/>
          <w:bCs/>
        </w:rPr>
        <w:t>Een wereld zonder God</w:t>
      </w:r>
    </w:p>
    <w:p w14:paraId="4D8E6F68" w14:textId="30F70892" w:rsidR="00445792" w:rsidRPr="001720BF" w:rsidRDefault="00000000">
      <w:pPr>
        <w:rPr>
          <w:rFonts w:asciiTheme="majorHAnsi" w:hAnsiTheme="majorHAnsi" w:cstheme="majorHAnsi"/>
        </w:rPr>
      </w:pPr>
      <w:r w:rsidRPr="001720BF">
        <w:rPr>
          <w:rFonts w:asciiTheme="majorHAnsi" w:hAnsiTheme="majorHAnsi" w:cstheme="majorHAnsi"/>
        </w:rPr>
        <w:t xml:space="preserve">Op vergelijkbare wijze maakt draagmoederschap de zwangerschap los van het moederschap, doordat een bevruchte eicel bij een andere vrouw wordt ingebracht. Zelfs goede bedoelingen — voor zover die aanwezig zijn — kunnen dit niet rechtvaardigen. Met behulp van technologie en een vrouw van buiten het ouderpaar, die haar baarmoeder ter beschikking stelt voor het kind van een ander, wordt immers de natuurlijke orde van zwangerschap en geboorte </w:t>
      </w:r>
      <w:r w:rsidRPr="001720BF">
        <w:rPr>
          <w:rFonts w:asciiTheme="majorHAnsi" w:hAnsiTheme="majorHAnsi" w:cstheme="majorHAnsi"/>
        </w:rPr>
        <w:lastRenderedPageBreak/>
        <w:t>geschonden. Zelfs Nietzsches dolle mens zou wellicht verbijsterd zijn geweest over het huidige morele landschap — of de morele woestenij.</w:t>
      </w:r>
    </w:p>
    <w:p w14:paraId="6C54D952" w14:textId="77777777" w:rsidR="00445792" w:rsidRPr="001720BF" w:rsidRDefault="00000000">
      <w:pPr>
        <w:rPr>
          <w:rFonts w:asciiTheme="majorHAnsi" w:hAnsiTheme="majorHAnsi" w:cstheme="majorHAnsi"/>
        </w:rPr>
      </w:pPr>
      <w:r w:rsidRPr="001720BF">
        <w:rPr>
          <w:rFonts w:asciiTheme="majorHAnsi" w:hAnsiTheme="majorHAnsi" w:cstheme="majorHAnsi"/>
        </w:rPr>
        <w:t>In een wereld zonder God kunnen niet alleen ongeboren kinderen naar believen worden voortgebracht en vernietigd met een technologie die van de moraal is losgemaakt. Ook oudere mensen kunnen worden gedood als zij dat wensen. Trueman wijst erop dat hulp van artsen bij zelfdoding in Canada inmiddels is geïnstitutionaliseerd via Medical Assistance in Dying, afgekort MAiD. Sinds 2016 zijn via deze macabere ‘dienstverlening’ meer dan vijftigduizend mensen op wettige wijze vermoord. De staat biedt dit inmiddels ook aan niet-terminale patiënten aan en beveelt het zelfs aan. In september 2025 publiceerde het uitgesproken liberale tijdschrift The Atlantic een voorzichtig kritisch artikel over MAiD, getiteld ‘Canada Is Killing Itself’. In de Verenigde Staten hebben tal van staten dit voorbeeld gevolgd, waaronder onlangs New York. Het oude medische beginsel ‘Doe geen kwaad’ is omgekeerd en ontheiligd. Omdat wij niet aan God zouden toebehoren, zouden we met ons leven mogen doen wat we willen, ook het beëindigen wanneer we dat willen. De historische christelijke leer stelt daartegenover: als het verkeerd is een andere beelddrager van God te vermoorden, dan is het ook verkeerd jezelf door zelfdoding te doden.[12]</w:t>
      </w:r>
    </w:p>
    <w:p w14:paraId="0E221840" w14:textId="77777777" w:rsidR="00445792" w:rsidRPr="001720BF" w:rsidRDefault="00000000">
      <w:pPr>
        <w:rPr>
          <w:rFonts w:asciiTheme="majorHAnsi" w:hAnsiTheme="majorHAnsi" w:cstheme="majorHAnsi"/>
        </w:rPr>
      </w:pPr>
      <w:r w:rsidRPr="001720BF">
        <w:rPr>
          <w:rFonts w:asciiTheme="majorHAnsi" w:hAnsiTheme="majorHAnsi" w:cstheme="majorHAnsi"/>
        </w:rPr>
        <w:t>Truemans beschouwingen over de dood na de dood van God zijn diepgaand en welsprekend verwoord. Met verwijzingen naar Pascal, Tolstoj en anderen laat hij zien hoe we aan de dood proberen te ontsnappen door afleiding, amusement en vergetelheid. Op allerlei manieren — van botox tot viagra — ontwijken we de werkelijkheid van het ouder worden. We zoeken seksuele ervaringen om onze gedachten van de dood af te leiden. Vanuit christelijk perspectief zijn zowel seksualiteit als de dood heilige werkelijkheden. Ons omgaan daarmee moet worden gevormd door de Bijbelse waarheid, gestalte krijgen binnen de christelijke gemeenschap en worden geleid door de Heilige Geest.</w:t>
      </w:r>
    </w:p>
    <w:p w14:paraId="5E520384" w14:textId="77777777" w:rsidR="00F646AA" w:rsidRPr="001720BF" w:rsidRDefault="00F646AA">
      <w:pPr>
        <w:rPr>
          <w:rFonts w:asciiTheme="majorHAnsi" w:hAnsiTheme="majorHAnsi" w:cstheme="majorHAnsi"/>
        </w:rPr>
      </w:pPr>
    </w:p>
    <w:p w14:paraId="4D0913A9" w14:textId="76CE2AEF" w:rsidR="00445792" w:rsidRPr="001720BF" w:rsidRDefault="00000000">
      <w:pPr>
        <w:rPr>
          <w:rFonts w:asciiTheme="majorHAnsi" w:hAnsiTheme="majorHAnsi" w:cstheme="majorHAnsi"/>
        </w:rPr>
      </w:pPr>
      <w:r w:rsidRPr="001720BF">
        <w:rPr>
          <w:rFonts w:asciiTheme="majorHAnsi" w:hAnsiTheme="majorHAnsi" w:cstheme="majorHAnsi"/>
        </w:rPr>
        <w:t xml:space="preserve">In zijn slothoofdstuk legt </w:t>
      </w:r>
      <w:proofErr w:type="spellStart"/>
      <w:r w:rsidRPr="001720BF">
        <w:rPr>
          <w:rFonts w:asciiTheme="majorHAnsi" w:hAnsiTheme="majorHAnsi" w:cstheme="majorHAnsi"/>
        </w:rPr>
        <w:t>Trueman</w:t>
      </w:r>
      <w:proofErr w:type="spellEnd"/>
      <w:r w:rsidRPr="001720BF">
        <w:rPr>
          <w:rFonts w:asciiTheme="majorHAnsi" w:hAnsiTheme="majorHAnsi" w:cstheme="majorHAnsi"/>
        </w:rPr>
        <w:t xml:space="preserve"> bloot waarom de pogingen van Richard Dawkins en sir Roger Scruton om de ontheiliging te bestrijden tekortschieten. Dawkins wil de genderideologie weerleggen met eenvoudige biologie: mensen zijn mannelijk of vrouwelijk en bepalen dat niet zelf. Maar zijn atheïsme ontneemt de biologie haar doelgerichtheid. Daardoor mist zijn beroep op seksuele normen overtuigingskracht. Scruton waardeert de heilige tradities van het christendom, inclusief de rituelen en de moraal, maar bevestigt nergens de objectieve waarheid van het geloof. Die houding alleen kan de ontheiliging van de mens niet keren. Volgens Trueman kan alleen een terugkeer naar de christelijke geloofsbelijdenis — de fundamentele theologie —, de eredienst — de kerkelijke praktijken </w:t>
      </w:r>
      <w:proofErr w:type="gramStart"/>
      <w:r w:rsidRPr="001720BF">
        <w:rPr>
          <w:rFonts w:asciiTheme="majorHAnsi" w:hAnsiTheme="majorHAnsi" w:cstheme="majorHAnsi"/>
        </w:rPr>
        <w:t>—[</w:t>
      </w:r>
      <w:proofErr w:type="gramEnd"/>
      <w:r w:rsidRPr="001720BF">
        <w:rPr>
          <w:rFonts w:asciiTheme="majorHAnsi" w:hAnsiTheme="majorHAnsi" w:cstheme="majorHAnsi"/>
        </w:rPr>
        <w:t>13] en de leefregels — de morele normen — het menszijn herstellen. Alleen een toewijding aan het christendom op die grondslag kan antwoord geven op de grote crisis rond ons mensbeeld. We moeten vanuit het christelijk geloof begrijpen wie we zijn en waartoe we bestaan. Trueman geeft hiervoor wijze en concrete adviezen over onder meer kerkmuziek, liturgie en gastvrijheid.</w:t>
      </w:r>
    </w:p>
    <w:p w14:paraId="70440E03" w14:textId="77777777" w:rsidR="00445792" w:rsidRPr="001720BF" w:rsidRDefault="00000000">
      <w:pPr>
        <w:pStyle w:val="Kop1"/>
        <w:rPr>
          <w:rFonts w:cstheme="majorHAnsi"/>
          <w:sz w:val="24"/>
          <w:szCs w:val="24"/>
        </w:rPr>
      </w:pPr>
      <w:r w:rsidRPr="001720BF">
        <w:rPr>
          <w:rFonts w:cstheme="majorHAnsi"/>
          <w:sz w:val="24"/>
          <w:szCs w:val="24"/>
        </w:rPr>
        <w:t>De Godmens of de dolle mens</w:t>
      </w:r>
    </w:p>
    <w:p w14:paraId="7DDA7E33" w14:textId="77777777" w:rsidR="00445792" w:rsidRPr="001720BF" w:rsidRDefault="00000000">
      <w:pPr>
        <w:rPr>
          <w:rFonts w:asciiTheme="majorHAnsi" w:hAnsiTheme="majorHAnsi" w:cstheme="majorHAnsi"/>
        </w:rPr>
      </w:pPr>
      <w:r w:rsidRPr="001720BF">
        <w:rPr>
          <w:rFonts w:asciiTheme="majorHAnsi" w:hAnsiTheme="majorHAnsi" w:cstheme="majorHAnsi"/>
        </w:rPr>
        <w:t>Alleen de Godmens kan ongedaan maken en herstellen wat Nietzsches dolle mens als het onvermijdelijke gevolg van de dood van God zag. Zoals theoloog en filosoof Carl Henry (1913–2003) schreef, staan we uiteindelijk voor deze keuze: ‘Op de lange duur zijn de enige mogelijkheden nihilisme of de Nazarener. De Logos van de bovennatuurlijke openbaring rijst op als de enige doeltreffende bescherming tegen de zinloosheid van de wereld en het menselijk bestaan.</w:t>
      </w:r>
      <w:proofErr w:type="gramStart"/>
      <w:r w:rsidRPr="001720BF">
        <w:rPr>
          <w:rFonts w:asciiTheme="majorHAnsi" w:hAnsiTheme="majorHAnsi" w:cstheme="majorHAnsi"/>
        </w:rPr>
        <w:t>’[</w:t>
      </w:r>
      <w:proofErr w:type="gramEnd"/>
      <w:r w:rsidRPr="001720BF">
        <w:rPr>
          <w:rFonts w:asciiTheme="majorHAnsi" w:hAnsiTheme="majorHAnsi" w:cstheme="majorHAnsi"/>
        </w:rPr>
        <w:t>14]</w:t>
      </w:r>
    </w:p>
    <w:p w14:paraId="42286722" w14:textId="77777777" w:rsidR="00445792" w:rsidRPr="001720BF" w:rsidRDefault="00000000">
      <w:pPr>
        <w:rPr>
          <w:rFonts w:asciiTheme="majorHAnsi" w:hAnsiTheme="majorHAnsi" w:cstheme="majorHAnsi"/>
        </w:rPr>
      </w:pPr>
      <w:r w:rsidRPr="001720BF">
        <w:rPr>
          <w:rFonts w:asciiTheme="majorHAnsi" w:hAnsiTheme="majorHAnsi" w:cstheme="majorHAnsi"/>
        </w:rPr>
        <w:t xml:space="preserve">Zoals de dolle mens zei, zouden wij zelf goden moeten zijn om waardig te zijn God te doden. Maar wanneer de mens zich als vervanger en nabootser van God opwerpt, kan hij in zijn </w:t>
      </w:r>
      <w:r w:rsidRPr="001720BF">
        <w:rPr>
          <w:rFonts w:asciiTheme="majorHAnsi" w:hAnsiTheme="majorHAnsi" w:cstheme="majorHAnsi"/>
        </w:rPr>
        <w:lastRenderedPageBreak/>
        <w:t>armzalige zoektocht naar een goddelijkheid zonder God slechts zijn eigen menszijn ontheiligen. De atheïstische filosoof Jean-Paul Sartre (1905–1980) was eerlijk genoeg om dit toe te geven toen hij zei dat de mens ‘het verlangen is om God te zijn’ en als zodanig ‘een nutteloze hartstocht’ is.[15] God acht zulke mensen die zich als God voordoen, veroordeling en verdoemenis waardig (Ezechiël 28:1–10; Jesaja 14:12–20). Toch kunnen zij door Gods genade ontwaken uit hun goddeloze waan, zich bekeren van hun dwaze hoogmoed en door Jezus Christus weer in een rechte verhouding tot de heilige God worden gebracht. Truemans treffende analyse van de ideeën die onze samenleving aandrijven, kan ons bewustmaken van de bronnen van de huidige duisternis. Zij kan ons helpen de weg te vinden uit die duisternis naar het licht van Gods waarheid (Efeziërs 6:12).</w:t>
      </w:r>
    </w:p>
    <w:p w14:paraId="23095FE4" w14:textId="77777777" w:rsidR="00445792" w:rsidRPr="001720BF" w:rsidRDefault="00000000">
      <w:pPr>
        <w:rPr>
          <w:rFonts w:asciiTheme="majorHAnsi" w:hAnsiTheme="majorHAnsi" w:cstheme="majorHAnsi"/>
        </w:rPr>
      </w:pPr>
      <w:r w:rsidRPr="001720BF">
        <w:rPr>
          <w:rFonts w:asciiTheme="majorHAnsi" w:hAnsiTheme="majorHAnsi" w:cstheme="majorHAnsi"/>
        </w:rPr>
        <w:t>Ik geef professor Trueman het laatste woord: ‘Alleen door de mens werkelijk te heiligen, kan zijn ontheiliging worden overwonnen. Dat vereist een terugkeer, niet alleen naar de vermeende culturele voordelen van het christelijk geloof en de christelijke praktijk, maar naar het daadwerkelijke christelijke geloof en de daadwerkelijke christelijke praktijk’ (p. xvi).</w:t>
      </w:r>
    </w:p>
    <w:p w14:paraId="658F3CCA" w14:textId="77777777" w:rsidR="00D0695A" w:rsidRPr="001720BF" w:rsidRDefault="00D0695A">
      <w:pPr>
        <w:rPr>
          <w:rFonts w:asciiTheme="majorHAnsi" w:hAnsiTheme="majorHAnsi" w:cstheme="majorHAnsi"/>
          <w:b/>
          <w:bCs/>
        </w:rPr>
      </w:pPr>
    </w:p>
    <w:p w14:paraId="39B06DD1" w14:textId="11939386" w:rsidR="00445792" w:rsidRPr="001720BF" w:rsidRDefault="00000000">
      <w:pPr>
        <w:rPr>
          <w:rFonts w:asciiTheme="majorHAnsi" w:hAnsiTheme="majorHAnsi" w:cstheme="majorHAnsi"/>
        </w:rPr>
      </w:pPr>
      <w:r w:rsidRPr="001720BF">
        <w:rPr>
          <w:rFonts w:asciiTheme="majorHAnsi" w:hAnsiTheme="majorHAnsi" w:cstheme="majorHAnsi"/>
          <w:b/>
          <w:bCs/>
        </w:rPr>
        <w:t>Douglas Groothuis, PhD,</w:t>
      </w:r>
      <w:r w:rsidRPr="001720BF">
        <w:rPr>
          <w:rFonts w:asciiTheme="majorHAnsi" w:hAnsiTheme="majorHAnsi" w:cstheme="majorHAnsi"/>
        </w:rPr>
        <w:t xml:space="preserve"> is vooraanstaand hoogleraar apologetiek en christelijke wereldbeschouwing aan Cornerstone University en Cornerstone Theological Seminary. Hij is de auteur van Taking Back Truth: A Biblical Response to Common Cultural Lies (Baker, 2026).</w:t>
      </w:r>
    </w:p>
    <w:p w14:paraId="18D79FBF" w14:textId="77777777" w:rsidR="001720BF" w:rsidRPr="001720BF" w:rsidRDefault="001720BF" w:rsidP="001720BF">
      <w:pPr>
        <w:pStyle w:val="Normaalweb"/>
        <w:shd w:val="clear" w:color="auto" w:fill="FFFFFF"/>
        <w:spacing w:before="0" w:beforeAutospacing="0" w:after="0" w:afterAutospacing="0" w:line="408" w:lineRule="atLeast"/>
        <w:textAlignment w:val="baseline"/>
        <w:rPr>
          <w:rFonts w:asciiTheme="majorHAnsi" w:hAnsiTheme="majorHAnsi" w:cstheme="majorHAnsi"/>
          <w:color w:val="000000"/>
        </w:rPr>
      </w:pPr>
      <w:r w:rsidRPr="001720BF">
        <w:rPr>
          <w:rStyle w:val="Zwaar"/>
          <w:rFonts w:asciiTheme="majorHAnsi" w:hAnsiTheme="majorHAnsi" w:cstheme="majorHAnsi"/>
          <w:color w:val="000000"/>
          <w:bdr w:val="none" w:sz="0" w:space="0" w:color="auto" w:frame="1"/>
        </w:rPr>
        <w:t>Author:</w:t>
      </w:r>
    </w:p>
    <w:p w14:paraId="195FE506" w14:textId="3276DA8D" w:rsidR="001720BF" w:rsidRPr="001720BF" w:rsidRDefault="001720BF" w:rsidP="001720BF">
      <w:pPr>
        <w:shd w:val="clear" w:color="auto" w:fill="FFFFFF"/>
        <w:textAlignment w:val="baseline"/>
        <w:rPr>
          <w:rFonts w:asciiTheme="majorHAnsi" w:hAnsiTheme="majorHAnsi" w:cstheme="majorHAnsi"/>
          <w:color w:val="000000"/>
        </w:rPr>
      </w:pPr>
      <w:r w:rsidRPr="001720BF">
        <w:rPr>
          <w:rFonts w:asciiTheme="majorHAnsi" w:hAnsiTheme="majorHAnsi" w:cstheme="majorHAnsi"/>
          <w:color w:val="000000"/>
        </w:rPr>
        <w:t xml:space="preserve">CRI. </w:t>
      </w:r>
      <w:proofErr w:type="spellStart"/>
      <w:r w:rsidRPr="001720BF">
        <w:rPr>
          <w:rStyle w:val="Zwaar"/>
          <w:rFonts w:asciiTheme="majorHAnsi" w:hAnsiTheme="majorHAnsi" w:cstheme="majorHAnsi"/>
          <w:color w:val="000000"/>
          <w:bdr w:val="none" w:sz="0" w:space="0" w:color="auto" w:frame="1"/>
        </w:rPr>
        <w:t>Article</w:t>
      </w:r>
      <w:proofErr w:type="spellEnd"/>
      <w:r w:rsidRPr="001720BF">
        <w:rPr>
          <w:rStyle w:val="Zwaar"/>
          <w:rFonts w:asciiTheme="majorHAnsi" w:hAnsiTheme="majorHAnsi" w:cstheme="majorHAnsi"/>
          <w:color w:val="000000"/>
          <w:bdr w:val="none" w:sz="0" w:space="0" w:color="auto" w:frame="1"/>
        </w:rPr>
        <w:t xml:space="preserve"> ID:</w:t>
      </w:r>
    </w:p>
    <w:p w14:paraId="357B0B30" w14:textId="5F3CC837" w:rsidR="001720BF" w:rsidRPr="001720BF" w:rsidRDefault="001720BF" w:rsidP="001720BF">
      <w:pPr>
        <w:shd w:val="clear" w:color="auto" w:fill="FFFFFF"/>
        <w:textAlignment w:val="baseline"/>
        <w:rPr>
          <w:rFonts w:asciiTheme="majorHAnsi" w:hAnsiTheme="majorHAnsi" w:cstheme="majorHAnsi"/>
          <w:color w:val="000000"/>
        </w:rPr>
      </w:pPr>
      <w:r w:rsidRPr="001720BF">
        <w:rPr>
          <w:rFonts w:asciiTheme="majorHAnsi" w:hAnsiTheme="majorHAnsi" w:cstheme="majorHAnsi"/>
          <w:color w:val="000000"/>
        </w:rPr>
        <w:t>JAF0926DGCC</w:t>
      </w:r>
      <w:r w:rsidRPr="001720BF">
        <w:rPr>
          <w:rFonts w:asciiTheme="majorHAnsi" w:hAnsiTheme="majorHAnsi" w:cstheme="majorHAnsi"/>
          <w:color w:val="000000"/>
        </w:rPr>
        <w:t xml:space="preserve"> </w:t>
      </w:r>
      <w:proofErr w:type="spellStart"/>
      <w:r w:rsidRPr="001720BF">
        <w:rPr>
          <w:rStyle w:val="Zwaar"/>
          <w:rFonts w:asciiTheme="majorHAnsi" w:hAnsiTheme="majorHAnsi" w:cstheme="majorHAnsi"/>
          <w:color w:val="000000"/>
          <w:bdr w:val="none" w:sz="0" w:space="0" w:color="auto" w:frame="1"/>
        </w:rPr>
        <w:t>Published</w:t>
      </w:r>
      <w:proofErr w:type="spellEnd"/>
      <w:r w:rsidRPr="001720BF">
        <w:rPr>
          <w:rStyle w:val="Zwaar"/>
          <w:rFonts w:asciiTheme="majorHAnsi" w:hAnsiTheme="majorHAnsi" w:cstheme="majorHAnsi"/>
          <w:color w:val="000000"/>
          <w:bdr w:val="none" w:sz="0" w:space="0" w:color="auto" w:frame="1"/>
        </w:rPr>
        <w:t>:</w:t>
      </w:r>
      <w:r w:rsidRPr="001720BF">
        <w:rPr>
          <w:rFonts w:asciiTheme="majorHAnsi" w:hAnsiTheme="majorHAnsi" w:cstheme="majorHAnsi"/>
          <w:color w:val="000000"/>
        </w:rPr>
        <w:t xml:space="preserve"> </w:t>
      </w:r>
      <w:r w:rsidRPr="001720BF">
        <w:rPr>
          <w:rFonts w:asciiTheme="majorHAnsi" w:hAnsiTheme="majorHAnsi" w:cstheme="majorHAnsi"/>
          <w:color w:val="000000"/>
        </w:rPr>
        <w:t>Sep 16, 2026</w:t>
      </w:r>
    </w:p>
    <w:p w14:paraId="40FFC442" w14:textId="77777777" w:rsidR="00D0695A" w:rsidRPr="001720BF" w:rsidRDefault="00D0695A">
      <w:pPr>
        <w:rPr>
          <w:rFonts w:asciiTheme="majorHAnsi" w:hAnsiTheme="majorHAnsi" w:cstheme="majorHAnsi"/>
        </w:rPr>
      </w:pPr>
    </w:p>
    <w:p w14:paraId="1F915798" w14:textId="77777777" w:rsidR="001720BF" w:rsidRPr="001720BF" w:rsidRDefault="001720BF" w:rsidP="00D0695A">
      <w:pPr>
        <w:rPr>
          <w:rFonts w:asciiTheme="majorHAnsi" w:hAnsiTheme="majorHAnsi" w:cstheme="majorHAnsi"/>
          <w:b/>
          <w:bCs/>
        </w:rPr>
      </w:pPr>
    </w:p>
    <w:p w14:paraId="3C568A21" w14:textId="77777777" w:rsidR="001720BF" w:rsidRPr="001720BF" w:rsidRDefault="001720BF" w:rsidP="00D0695A">
      <w:pPr>
        <w:rPr>
          <w:rFonts w:asciiTheme="majorHAnsi" w:hAnsiTheme="majorHAnsi" w:cstheme="majorHAnsi"/>
          <w:b/>
          <w:bCs/>
        </w:rPr>
      </w:pPr>
    </w:p>
    <w:p w14:paraId="4AFC1954" w14:textId="77777777" w:rsidR="001720BF" w:rsidRPr="001720BF" w:rsidRDefault="001720BF" w:rsidP="00D0695A">
      <w:pPr>
        <w:rPr>
          <w:rFonts w:asciiTheme="majorHAnsi" w:hAnsiTheme="majorHAnsi" w:cstheme="majorHAnsi"/>
          <w:b/>
          <w:bCs/>
        </w:rPr>
      </w:pPr>
    </w:p>
    <w:p w14:paraId="415011CE" w14:textId="5EFDD5B3" w:rsidR="00D0695A" w:rsidRPr="001720BF" w:rsidRDefault="00D0695A" w:rsidP="00D0695A">
      <w:pPr>
        <w:rPr>
          <w:rFonts w:asciiTheme="majorHAnsi" w:hAnsiTheme="majorHAnsi" w:cstheme="majorHAnsi"/>
        </w:rPr>
      </w:pPr>
      <w:r w:rsidRPr="001720BF">
        <w:rPr>
          <w:rFonts w:asciiTheme="majorHAnsi" w:hAnsiTheme="majorHAnsi" w:cstheme="majorHAnsi"/>
          <w:b/>
          <w:bCs/>
        </w:rPr>
        <w:t xml:space="preserve">The </w:t>
      </w:r>
      <w:proofErr w:type="spellStart"/>
      <w:r w:rsidRPr="001720BF">
        <w:rPr>
          <w:rFonts w:asciiTheme="majorHAnsi" w:hAnsiTheme="majorHAnsi" w:cstheme="majorHAnsi"/>
          <w:b/>
          <w:bCs/>
        </w:rPr>
        <w:t>Desecration</w:t>
      </w:r>
      <w:proofErr w:type="spellEnd"/>
      <w:r w:rsidRPr="001720BF">
        <w:rPr>
          <w:rFonts w:asciiTheme="majorHAnsi" w:hAnsiTheme="majorHAnsi" w:cstheme="majorHAnsi"/>
          <w:b/>
          <w:bCs/>
        </w:rPr>
        <w:t xml:space="preserve"> of Man</w:t>
      </w:r>
      <w:r w:rsidRPr="001720BF">
        <w:rPr>
          <w:rFonts w:asciiTheme="majorHAnsi" w:hAnsiTheme="majorHAnsi" w:cstheme="majorHAnsi"/>
        </w:rPr>
        <w:t>.</w:t>
      </w:r>
      <w:r w:rsidRPr="001720BF">
        <w:rPr>
          <w:rFonts w:asciiTheme="majorHAnsi" w:hAnsiTheme="majorHAnsi" w:cstheme="majorHAnsi"/>
        </w:rPr>
        <w:t xml:space="preserve"> De </w:t>
      </w:r>
      <w:proofErr w:type="spellStart"/>
      <w:r w:rsidRPr="001720BF">
        <w:rPr>
          <w:rFonts w:asciiTheme="majorHAnsi" w:hAnsiTheme="majorHAnsi" w:cstheme="majorHAnsi"/>
        </w:rPr>
        <w:t>ontheiliging</w:t>
      </w:r>
      <w:proofErr w:type="spellEnd"/>
      <w:r w:rsidRPr="001720BF">
        <w:rPr>
          <w:rFonts w:asciiTheme="majorHAnsi" w:hAnsiTheme="majorHAnsi" w:cstheme="majorHAnsi"/>
        </w:rPr>
        <w:t xml:space="preserve"> van de </w:t>
      </w:r>
      <w:proofErr w:type="spellStart"/>
      <w:r w:rsidRPr="001720BF">
        <w:rPr>
          <w:rFonts w:asciiTheme="majorHAnsi" w:hAnsiTheme="majorHAnsi" w:cstheme="majorHAnsi"/>
        </w:rPr>
        <w:t>mens</w:t>
      </w:r>
      <w:proofErr w:type="spellEnd"/>
    </w:p>
    <w:p w14:paraId="37C7E381" w14:textId="2319EDC0" w:rsidR="00D0695A" w:rsidRPr="001720BF" w:rsidRDefault="00D0695A" w:rsidP="00D0695A">
      <w:pPr>
        <w:rPr>
          <w:rFonts w:asciiTheme="majorHAnsi" w:hAnsiTheme="majorHAnsi" w:cstheme="majorHAnsi"/>
        </w:rPr>
      </w:pPr>
      <w:r w:rsidRPr="001720BF">
        <w:rPr>
          <w:rFonts w:asciiTheme="majorHAnsi" w:hAnsiTheme="majorHAnsi" w:cstheme="majorHAnsi"/>
          <w:b/>
          <w:bCs/>
        </w:rPr>
        <w:t xml:space="preserve">How the Rejection of God Degrades Our </w:t>
      </w:r>
      <w:proofErr w:type="spellStart"/>
      <w:r w:rsidRPr="001720BF">
        <w:rPr>
          <w:rFonts w:asciiTheme="majorHAnsi" w:hAnsiTheme="majorHAnsi" w:cstheme="majorHAnsi"/>
          <w:b/>
          <w:bCs/>
        </w:rPr>
        <w:t>Humanity</w:t>
      </w:r>
      <w:r w:rsidRPr="001720BF">
        <w:rPr>
          <w:rFonts w:asciiTheme="majorHAnsi" w:hAnsiTheme="majorHAnsi" w:cstheme="majorHAnsi"/>
        </w:rPr>
        <w:t>.</w:t>
      </w:r>
      <w:r w:rsidRPr="001720BF">
        <w:rPr>
          <w:rFonts w:asciiTheme="majorHAnsi" w:hAnsiTheme="majorHAnsi" w:cstheme="majorHAnsi"/>
        </w:rPr>
        <w:t>Hoe</w:t>
      </w:r>
      <w:proofErr w:type="spellEnd"/>
      <w:r w:rsidRPr="001720BF">
        <w:rPr>
          <w:rFonts w:asciiTheme="majorHAnsi" w:hAnsiTheme="majorHAnsi" w:cstheme="majorHAnsi"/>
        </w:rPr>
        <w:t xml:space="preserve"> de </w:t>
      </w:r>
      <w:proofErr w:type="spellStart"/>
      <w:r w:rsidRPr="001720BF">
        <w:rPr>
          <w:rFonts w:asciiTheme="majorHAnsi" w:hAnsiTheme="majorHAnsi" w:cstheme="majorHAnsi"/>
        </w:rPr>
        <w:t>afwijzing</w:t>
      </w:r>
      <w:proofErr w:type="spellEnd"/>
      <w:r w:rsidRPr="001720BF">
        <w:rPr>
          <w:rFonts w:asciiTheme="majorHAnsi" w:hAnsiTheme="majorHAnsi" w:cstheme="majorHAnsi"/>
        </w:rPr>
        <w:t xml:space="preserve"> van God </w:t>
      </w:r>
      <w:proofErr w:type="spellStart"/>
      <w:r w:rsidRPr="001720BF">
        <w:rPr>
          <w:rFonts w:asciiTheme="majorHAnsi" w:hAnsiTheme="majorHAnsi" w:cstheme="majorHAnsi"/>
        </w:rPr>
        <w:t>ons</w:t>
      </w:r>
      <w:proofErr w:type="spellEnd"/>
      <w:r w:rsidRPr="001720BF">
        <w:rPr>
          <w:rFonts w:asciiTheme="majorHAnsi" w:hAnsiTheme="majorHAnsi" w:cstheme="majorHAnsi"/>
        </w:rPr>
        <w:t xml:space="preserve"> </w:t>
      </w:r>
      <w:proofErr w:type="spellStart"/>
      <w:r w:rsidRPr="001720BF">
        <w:rPr>
          <w:rFonts w:asciiTheme="majorHAnsi" w:hAnsiTheme="majorHAnsi" w:cstheme="majorHAnsi"/>
        </w:rPr>
        <w:t>menszijn</w:t>
      </w:r>
      <w:proofErr w:type="spellEnd"/>
      <w:r w:rsidRPr="001720BF">
        <w:rPr>
          <w:rFonts w:asciiTheme="majorHAnsi" w:hAnsiTheme="majorHAnsi" w:cstheme="majorHAnsi"/>
        </w:rPr>
        <w:t xml:space="preserve"> </w:t>
      </w:r>
      <w:proofErr w:type="spellStart"/>
      <w:r w:rsidRPr="001720BF">
        <w:rPr>
          <w:rFonts w:asciiTheme="majorHAnsi" w:hAnsiTheme="majorHAnsi" w:cstheme="majorHAnsi"/>
        </w:rPr>
        <w:t>aantast</w:t>
      </w:r>
      <w:proofErr w:type="spellEnd"/>
    </w:p>
    <w:p w14:paraId="75719BE0" w14:textId="6D30371A" w:rsidR="00D0695A" w:rsidRPr="001720BF" w:rsidRDefault="00D0695A" w:rsidP="00D0695A">
      <w:pPr>
        <w:rPr>
          <w:rFonts w:asciiTheme="majorHAnsi" w:hAnsiTheme="majorHAnsi" w:cstheme="majorHAnsi"/>
        </w:rPr>
      </w:pPr>
      <w:r w:rsidRPr="001720BF">
        <w:rPr>
          <w:rFonts w:asciiTheme="majorHAnsi" w:hAnsiTheme="majorHAnsi" w:cstheme="majorHAnsi"/>
          <w:b/>
          <w:bCs/>
        </w:rPr>
        <w:t>Carl R. Trueman</w:t>
      </w:r>
      <w:r w:rsidRPr="001720BF">
        <w:rPr>
          <w:rFonts w:asciiTheme="majorHAnsi" w:hAnsiTheme="majorHAnsi" w:cstheme="majorHAnsi"/>
          <w:b/>
          <w:bCs/>
        </w:rPr>
        <w:t xml:space="preserve">  </w:t>
      </w:r>
    </w:p>
    <w:p w14:paraId="4A3C65D6" w14:textId="77777777" w:rsidR="00D0695A" w:rsidRPr="001720BF" w:rsidRDefault="00D0695A" w:rsidP="00D0695A">
      <w:pPr>
        <w:rPr>
          <w:rFonts w:asciiTheme="majorHAnsi" w:hAnsiTheme="majorHAnsi" w:cstheme="majorHAnsi"/>
          <w:b/>
          <w:bCs/>
        </w:rPr>
      </w:pPr>
    </w:p>
    <w:p w14:paraId="7CD34F4A" w14:textId="6DBEC299" w:rsidR="00D0695A" w:rsidRPr="001720BF" w:rsidRDefault="00D0695A" w:rsidP="00D0695A">
      <w:pPr>
        <w:rPr>
          <w:rFonts w:asciiTheme="majorHAnsi" w:hAnsiTheme="majorHAnsi" w:cstheme="majorHAnsi"/>
          <w:b/>
          <w:bCs/>
        </w:rPr>
      </w:pPr>
      <w:proofErr w:type="spellStart"/>
      <w:r w:rsidRPr="001720BF">
        <w:rPr>
          <w:rFonts w:asciiTheme="majorHAnsi" w:hAnsiTheme="majorHAnsi" w:cstheme="majorHAnsi"/>
          <w:b/>
          <w:bCs/>
        </w:rPr>
        <w:t>Book</w:t>
      </w:r>
      <w:proofErr w:type="spellEnd"/>
      <w:r w:rsidRPr="001720BF">
        <w:rPr>
          <w:rFonts w:asciiTheme="majorHAnsi" w:hAnsiTheme="majorHAnsi" w:cstheme="majorHAnsi"/>
          <w:b/>
          <w:bCs/>
        </w:rPr>
        <w:t xml:space="preserve"> Details</w:t>
      </w:r>
    </w:p>
    <w:p w14:paraId="5195D147" w14:textId="77777777" w:rsidR="00D0695A" w:rsidRPr="001720BF" w:rsidRDefault="00D0695A" w:rsidP="00D0695A">
      <w:pPr>
        <w:pStyle w:val="z1qcye"/>
        <w:numPr>
          <w:ilvl w:val="0"/>
          <w:numId w:val="10"/>
        </w:numPr>
        <w:spacing w:before="0" w:beforeAutospacing="0" w:after="0" w:afterAutospacing="0"/>
        <w:rPr>
          <w:rFonts w:asciiTheme="majorHAnsi" w:hAnsiTheme="majorHAnsi" w:cstheme="majorHAnsi"/>
        </w:rPr>
      </w:pPr>
      <w:r w:rsidRPr="001720BF">
        <w:rPr>
          <w:rStyle w:val="Zwaar"/>
          <w:rFonts w:asciiTheme="majorHAnsi" w:hAnsiTheme="majorHAnsi" w:cstheme="majorHAnsi"/>
        </w:rPr>
        <w:t>Author:</w:t>
      </w:r>
      <w:r w:rsidRPr="001720BF">
        <w:rPr>
          <w:rStyle w:val="inqyif"/>
          <w:rFonts w:asciiTheme="majorHAnsi" w:hAnsiTheme="majorHAnsi" w:cstheme="majorHAnsi"/>
        </w:rPr>
        <w:t xml:space="preserve"> Carl R. </w:t>
      </w:r>
      <w:proofErr w:type="spellStart"/>
      <w:r w:rsidRPr="001720BF">
        <w:rPr>
          <w:rStyle w:val="inqyif"/>
          <w:rFonts w:asciiTheme="majorHAnsi" w:hAnsiTheme="majorHAnsi" w:cstheme="majorHAnsi"/>
        </w:rPr>
        <w:t>Trueman</w:t>
      </w:r>
      <w:proofErr w:type="spellEnd"/>
      <w:r w:rsidRPr="001720BF">
        <w:rPr>
          <w:rStyle w:val="inqyif"/>
          <w:rFonts w:asciiTheme="majorHAnsi" w:hAnsiTheme="majorHAnsi" w:cstheme="majorHAnsi"/>
        </w:rPr>
        <w:t xml:space="preserve"> (professor of </w:t>
      </w:r>
      <w:proofErr w:type="spellStart"/>
      <w:r w:rsidRPr="001720BF">
        <w:rPr>
          <w:rStyle w:val="inqyif"/>
          <w:rFonts w:asciiTheme="majorHAnsi" w:hAnsiTheme="majorHAnsi" w:cstheme="majorHAnsi"/>
        </w:rPr>
        <w:t>biblical</w:t>
      </w:r>
      <w:proofErr w:type="spellEnd"/>
      <w:r w:rsidRPr="001720BF">
        <w:rPr>
          <w:rStyle w:val="inqyif"/>
          <w:rFonts w:asciiTheme="majorHAnsi" w:hAnsiTheme="majorHAnsi" w:cstheme="majorHAnsi"/>
        </w:rPr>
        <w:t xml:space="preserve"> and </w:t>
      </w:r>
      <w:proofErr w:type="spellStart"/>
      <w:r w:rsidRPr="001720BF">
        <w:rPr>
          <w:rStyle w:val="inqyif"/>
          <w:rFonts w:asciiTheme="majorHAnsi" w:hAnsiTheme="majorHAnsi" w:cstheme="majorHAnsi"/>
        </w:rPr>
        <w:t>religious</w:t>
      </w:r>
      <w:proofErr w:type="spellEnd"/>
      <w:r w:rsidRPr="001720BF">
        <w:rPr>
          <w:rStyle w:val="inqyif"/>
          <w:rFonts w:asciiTheme="majorHAnsi" w:hAnsiTheme="majorHAnsi" w:cstheme="majorHAnsi"/>
        </w:rPr>
        <w:t xml:space="preserve"> studies at Grove City College)</w:t>
      </w:r>
    </w:p>
    <w:p w14:paraId="7B8A7352" w14:textId="77777777" w:rsidR="00D0695A" w:rsidRPr="001720BF" w:rsidRDefault="00D0695A" w:rsidP="00D0695A">
      <w:pPr>
        <w:pStyle w:val="z1qcye"/>
        <w:numPr>
          <w:ilvl w:val="0"/>
          <w:numId w:val="10"/>
        </w:numPr>
        <w:spacing w:before="0" w:beforeAutospacing="0" w:after="0" w:afterAutospacing="0"/>
        <w:rPr>
          <w:rFonts w:asciiTheme="majorHAnsi" w:hAnsiTheme="majorHAnsi" w:cstheme="majorHAnsi"/>
        </w:rPr>
      </w:pPr>
      <w:r w:rsidRPr="001720BF">
        <w:rPr>
          <w:rStyle w:val="Zwaar"/>
          <w:rFonts w:asciiTheme="majorHAnsi" w:hAnsiTheme="majorHAnsi" w:cstheme="majorHAnsi"/>
        </w:rPr>
        <w:t>Publisher:</w:t>
      </w:r>
      <w:r w:rsidRPr="001720BF">
        <w:rPr>
          <w:rStyle w:val="inqyif"/>
          <w:rFonts w:asciiTheme="majorHAnsi" w:hAnsiTheme="majorHAnsi" w:cstheme="majorHAnsi"/>
        </w:rPr>
        <w:t xml:space="preserve"> </w:t>
      </w:r>
      <w:proofErr w:type="spellStart"/>
      <w:r w:rsidRPr="001720BF">
        <w:rPr>
          <w:rStyle w:val="inqyif"/>
          <w:rFonts w:asciiTheme="majorHAnsi" w:hAnsiTheme="majorHAnsi" w:cstheme="majorHAnsi"/>
        </w:rPr>
        <w:t>Sentinel</w:t>
      </w:r>
      <w:proofErr w:type="spellEnd"/>
    </w:p>
    <w:p w14:paraId="09770B86" w14:textId="77777777" w:rsidR="00D0695A" w:rsidRPr="001720BF" w:rsidRDefault="00D0695A" w:rsidP="00D0695A">
      <w:pPr>
        <w:pStyle w:val="z1qcye"/>
        <w:numPr>
          <w:ilvl w:val="0"/>
          <w:numId w:val="10"/>
        </w:numPr>
        <w:spacing w:before="0" w:beforeAutospacing="0" w:after="0" w:afterAutospacing="0"/>
        <w:rPr>
          <w:rFonts w:asciiTheme="majorHAnsi" w:hAnsiTheme="majorHAnsi" w:cstheme="majorHAnsi"/>
        </w:rPr>
      </w:pPr>
      <w:proofErr w:type="spellStart"/>
      <w:r w:rsidRPr="001720BF">
        <w:rPr>
          <w:rStyle w:val="Zwaar"/>
          <w:rFonts w:asciiTheme="majorHAnsi" w:hAnsiTheme="majorHAnsi" w:cstheme="majorHAnsi"/>
        </w:rPr>
        <w:t>Publication</w:t>
      </w:r>
      <w:proofErr w:type="spellEnd"/>
      <w:r w:rsidRPr="001720BF">
        <w:rPr>
          <w:rStyle w:val="Zwaar"/>
          <w:rFonts w:asciiTheme="majorHAnsi" w:hAnsiTheme="majorHAnsi" w:cstheme="majorHAnsi"/>
        </w:rPr>
        <w:t xml:space="preserve"> </w:t>
      </w:r>
      <w:proofErr w:type="spellStart"/>
      <w:r w:rsidRPr="001720BF">
        <w:rPr>
          <w:rStyle w:val="Zwaar"/>
          <w:rFonts w:asciiTheme="majorHAnsi" w:hAnsiTheme="majorHAnsi" w:cstheme="majorHAnsi"/>
        </w:rPr>
        <w:t>Year</w:t>
      </w:r>
      <w:proofErr w:type="spellEnd"/>
      <w:r w:rsidRPr="001720BF">
        <w:rPr>
          <w:rStyle w:val="Zwaar"/>
          <w:rFonts w:asciiTheme="majorHAnsi" w:hAnsiTheme="majorHAnsi" w:cstheme="majorHAnsi"/>
        </w:rPr>
        <w:t>:</w:t>
      </w:r>
      <w:r w:rsidRPr="001720BF">
        <w:rPr>
          <w:rStyle w:val="inqyif"/>
          <w:rFonts w:asciiTheme="majorHAnsi" w:hAnsiTheme="majorHAnsi" w:cstheme="majorHAnsi"/>
        </w:rPr>
        <w:t xml:space="preserve"> 2026</w:t>
      </w:r>
    </w:p>
    <w:p w14:paraId="3701DB63" w14:textId="77777777" w:rsidR="00D0695A" w:rsidRPr="001720BF" w:rsidRDefault="00D0695A" w:rsidP="00D0695A">
      <w:pPr>
        <w:pStyle w:val="z1qcye"/>
        <w:numPr>
          <w:ilvl w:val="0"/>
          <w:numId w:val="10"/>
        </w:numPr>
        <w:spacing w:before="0" w:beforeAutospacing="0" w:after="0" w:afterAutospacing="0"/>
        <w:rPr>
          <w:rFonts w:asciiTheme="majorHAnsi" w:hAnsiTheme="majorHAnsi" w:cstheme="majorHAnsi"/>
        </w:rPr>
      </w:pPr>
      <w:r w:rsidRPr="001720BF">
        <w:rPr>
          <w:rStyle w:val="Zwaar"/>
          <w:rFonts w:asciiTheme="majorHAnsi" w:hAnsiTheme="majorHAnsi" w:cstheme="majorHAnsi"/>
        </w:rPr>
        <w:t>ISBN:</w:t>
      </w:r>
      <w:r w:rsidRPr="001720BF">
        <w:rPr>
          <w:rStyle w:val="inqyif"/>
          <w:rFonts w:asciiTheme="majorHAnsi" w:hAnsiTheme="majorHAnsi" w:cstheme="majorHAnsi"/>
        </w:rPr>
        <w:t xml:space="preserve"> 9780593713853</w:t>
      </w:r>
    </w:p>
    <w:p w14:paraId="5D4A3849" w14:textId="77777777" w:rsidR="00D0695A" w:rsidRPr="001720BF" w:rsidRDefault="00D0695A" w:rsidP="00D0695A">
      <w:pPr>
        <w:pStyle w:val="z1qcye"/>
        <w:numPr>
          <w:ilvl w:val="0"/>
          <w:numId w:val="10"/>
        </w:numPr>
        <w:spacing w:before="0" w:beforeAutospacing="0" w:after="0" w:afterAutospacing="0"/>
        <w:rPr>
          <w:rFonts w:asciiTheme="majorHAnsi" w:hAnsiTheme="majorHAnsi" w:cstheme="majorHAnsi"/>
        </w:rPr>
      </w:pPr>
      <w:r w:rsidRPr="001720BF">
        <w:rPr>
          <w:rStyle w:val="Zwaar"/>
          <w:rFonts w:asciiTheme="majorHAnsi" w:hAnsiTheme="majorHAnsi" w:cstheme="majorHAnsi"/>
        </w:rPr>
        <w:t xml:space="preserve">Page </w:t>
      </w:r>
      <w:proofErr w:type="spellStart"/>
      <w:r w:rsidRPr="001720BF">
        <w:rPr>
          <w:rStyle w:val="Zwaar"/>
          <w:rFonts w:asciiTheme="majorHAnsi" w:hAnsiTheme="majorHAnsi" w:cstheme="majorHAnsi"/>
        </w:rPr>
        <w:t>Count</w:t>
      </w:r>
      <w:proofErr w:type="spellEnd"/>
      <w:r w:rsidRPr="001720BF">
        <w:rPr>
          <w:rStyle w:val="Zwaar"/>
          <w:rFonts w:asciiTheme="majorHAnsi" w:hAnsiTheme="majorHAnsi" w:cstheme="majorHAnsi"/>
        </w:rPr>
        <w:t>:</w:t>
      </w:r>
      <w:r w:rsidRPr="001720BF">
        <w:rPr>
          <w:rStyle w:val="inqyif"/>
          <w:rFonts w:asciiTheme="majorHAnsi" w:hAnsiTheme="majorHAnsi" w:cstheme="majorHAnsi"/>
        </w:rPr>
        <w:t xml:space="preserve"> 256 pages</w:t>
      </w:r>
    </w:p>
    <w:p w14:paraId="5954F682" w14:textId="77777777" w:rsidR="00D0695A" w:rsidRPr="001720BF" w:rsidRDefault="00D0695A" w:rsidP="00D0695A">
      <w:pPr>
        <w:rPr>
          <w:rFonts w:asciiTheme="majorHAnsi" w:hAnsiTheme="majorHAnsi" w:cstheme="majorHAnsi"/>
        </w:rPr>
      </w:pPr>
    </w:p>
    <w:p w14:paraId="67D71511" w14:textId="77777777" w:rsidR="00D0695A" w:rsidRPr="001720BF" w:rsidRDefault="00D0695A">
      <w:pPr>
        <w:rPr>
          <w:rFonts w:asciiTheme="majorHAnsi" w:hAnsiTheme="majorHAnsi" w:cstheme="majorHAnsi"/>
        </w:rPr>
      </w:pPr>
    </w:p>
    <w:p w14:paraId="4071C969" w14:textId="77777777" w:rsidR="00445792" w:rsidRPr="001720BF" w:rsidRDefault="00000000">
      <w:pPr>
        <w:pStyle w:val="Kop1"/>
        <w:rPr>
          <w:rFonts w:cstheme="majorHAnsi"/>
          <w:sz w:val="24"/>
          <w:szCs w:val="24"/>
        </w:rPr>
      </w:pPr>
      <w:r w:rsidRPr="001720BF">
        <w:rPr>
          <w:rFonts w:cstheme="majorHAnsi"/>
          <w:sz w:val="24"/>
          <w:szCs w:val="24"/>
        </w:rPr>
        <w:t>Noten</w:t>
      </w:r>
    </w:p>
    <w:p w14:paraId="68489CDB" w14:textId="77777777" w:rsidR="00445792" w:rsidRPr="001720BF" w:rsidRDefault="00000000">
      <w:pPr>
        <w:spacing w:after="120" w:line="252" w:lineRule="auto"/>
        <w:rPr>
          <w:rFonts w:asciiTheme="majorHAnsi" w:hAnsiTheme="majorHAnsi" w:cstheme="majorHAnsi"/>
        </w:rPr>
      </w:pPr>
      <w:r w:rsidRPr="001720BF">
        <w:rPr>
          <w:rFonts w:asciiTheme="majorHAnsi" w:hAnsiTheme="majorHAnsi" w:cstheme="majorHAnsi"/>
        </w:rPr>
        <w:t>[1] Erich Fromm, The Sane Society (Owl Books, 1990; oorspronkelijk verschenen in 1955), p. 360.</w:t>
      </w:r>
    </w:p>
    <w:p w14:paraId="44B663FC" w14:textId="77777777" w:rsidR="00445792" w:rsidRPr="001720BF" w:rsidRDefault="00000000">
      <w:pPr>
        <w:spacing w:after="120" w:line="252" w:lineRule="auto"/>
        <w:rPr>
          <w:rFonts w:asciiTheme="majorHAnsi" w:hAnsiTheme="majorHAnsi" w:cstheme="majorHAnsi"/>
        </w:rPr>
      </w:pPr>
      <w:r w:rsidRPr="001720BF">
        <w:rPr>
          <w:rFonts w:asciiTheme="majorHAnsi" w:hAnsiTheme="majorHAnsi" w:cstheme="majorHAnsi"/>
        </w:rPr>
        <w:t>[2] Over negatieve apologetiek: zie Douglas Groothuis, Christian Apologetics, tweede editie (InterVarsity Academic, 2022), p. 44. Deze benadering wordt in het hele boek toegepast.</w:t>
      </w:r>
    </w:p>
    <w:p w14:paraId="2426A000" w14:textId="77777777" w:rsidR="00445792" w:rsidRPr="001720BF" w:rsidRDefault="00000000">
      <w:pPr>
        <w:spacing w:after="120" w:line="252" w:lineRule="auto"/>
        <w:rPr>
          <w:rFonts w:asciiTheme="majorHAnsi" w:hAnsiTheme="majorHAnsi" w:cstheme="majorHAnsi"/>
        </w:rPr>
      </w:pPr>
      <w:r w:rsidRPr="001720BF">
        <w:rPr>
          <w:rFonts w:asciiTheme="majorHAnsi" w:hAnsiTheme="majorHAnsi" w:cstheme="majorHAnsi"/>
        </w:rPr>
        <w:lastRenderedPageBreak/>
        <w:t>[3] Scott Klusendorf, ‘Death with a Happy Face: Peter Singer’s Bold Defense of Infanticide’, Christian Research Journal 23, nr. 3 (2001), https://www.equip.org/articles/peter-singers-bold-defense-of-infanticide/.</w:t>
      </w:r>
    </w:p>
    <w:p w14:paraId="78D4F797" w14:textId="77777777" w:rsidR="00445792" w:rsidRPr="001720BF" w:rsidRDefault="00000000">
      <w:pPr>
        <w:spacing w:after="120" w:line="252" w:lineRule="auto"/>
        <w:rPr>
          <w:rFonts w:asciiTheme="majorHAnsi" w:hAnsiTheme="majorHAnsi" w:cstheme="majorHAnsi"/>
        </w:rPr>
      </w:pPr>
      <w:r w:rsidRPr="001720BF">
        <w:rPr>
          <w:rFonts w:asciiTheme="majorHAnsi" w:hAnsiTheme="majorHAnsi" w:cstheme="majorHAnsi"/>
        </w:rPr>
        <w:t>[4] Peter Singer, ‘Heavy Petting’, Nerve, 2001; op 28 december 2005 gearchiveerd door de Wayback Machine: https://web.archive.org/web/20051228141000/http://www.utilitarian.net/singer/by/2001—-.htm.</w:t>
      </w:r>
    </w:p>
    <w:p w14:paraId="1D2B42A9" w14:textId="77777777" w:rsidR="00445792" w:rsidRPr="001720BF" w:rsidRDefault="00000000">
      <w:pPr>
        <w:spacing w:after="120" w:line="252" w:lineRule="auto"/>
        <w:rPr>
          <w:rFonts w:asciiTheme="majorHAnsi" w:hAnsiTheme="majorHAnsi" w:cstheme="majorHAnsi"/>
        </w:rPr>
      </w:pPr>
      <w:r w:rsidRPr="001720BF">
        <w:rPr>
          <w:rFonts w:asciiTheme="majorHAnsi" w:hAnsiTheme="majorHAnsi" w:cstheme="majorHAnsi"/>
        </w:rPr>
        <w:t>[5] De Bijbelcitaten in het oorspronkelijke artikel zijn ontleend aan de NIV. De Nederlandse weergaven in deze vertaling zijn vertaald uit de aangehaalde Engelse tekst.</w:t>
      </w:r>
    </w:p>
    <w:p w14:paraId="1FA908F7" w14:textId="77777777" w:rsidR="00445792" w:rsidRPr="001720BF" w:rsidRDefault="00000000">
      <w:pPr>
        <w:spacing w:after="120" w:line="252" w:lineRule="auto"/>
        <w:rPr>
          <w:rFonts w:asciiTheme="majorHAnsi" w:hAnsiTheme="majorHAnsi" w:cstheme="majorHAnsi"/>
        </w:rPr>
      </w:pPr>
      <w:r w:rsidRPr="001720BF">
        <w:rPr>
          <w:rFonts w:asciiTheme="majorHAnsi" w:hAnsiTheme="majorHAnsi" w:cstheme="majorHAnsi"/>
        </w:rPr>
        <w:t>[6] Francis A. Schaeffer, Death in the City (Crossway, 2002; oorspronkelijk verschenen in 1969), p. 38, Kindle-editie.</w:t>
      </w:r>
    </w:p>
    <w:p w14:paraId="32C9AEB8" w14:textId="77777777" w:rsidR="00445792" w:rsidRPr="001720BF" w:rsidRDefault="00000000">
      <w:pPr>
        <w:spacing w:after="120" w:line="252" w:lineRule="auto"/>
        <w:rPr>
          <w:rFonts w:asciiTheme="majorHAnsi" w:hAnsiTheme="majorHAnsi" w:cstheme="majorHAnsi"/>
        </w:rPr>
      </w:pPr>
      <w:r w:rsidRPr="001720BF">
        <w:rPr>
          <w:rFonts w:asciiTheme="majorHAnsi" w:hAnsiTheme="majorHAnsi" w:cstheme="majorHAnsi"/>
        </w:rPr>
        <w:t>[7] Peter L. Berger, A Rumor of Angels: Modern Society and the Rediscovery of the Supernatural (Open Road Media, 2011; oorspronkelijk verschenen in 1969), p. 34, Kindle-editie.</w:t>
      </w:r>
    </w:p>
    <w:p w14:paraId="7E408B27" w14:textId="77777777" w:rsidR="00445792" w:rsidRPr="001720BF" w:rsidRDefault="00000000">
      <w:pPr>
        <w:spacing w:after="120" w:line="252" w:lineRule="auto"/>
        <w:rPr>
          <w:rFonts w:asciiTheme="majorHAnsi" w:hAnsiTheme="majorHAnsi" w:cstheme="majorHAnsi"/>
        </w:rPr>
      </w:pPr>
      <w:r w:rsidRPr="001720BF">
        <w:rPr>
          <w:rFonts w:asciiTheme="majorHAnsi" w:hAnsiTheme="majorHAnsi" w:cstheme="majorHAnsi"/>
        </w:rPr>
        <w:t>[8] Friedrich Nietzsche, The Gay Science, §125, ‘The Madman’, in The Portable Nietzsche, redactie en vertaling Walter Kaufmann (Penguin Books, 1977; The Gay Science oorspronkelijk verschenen in 1882), pp. 95–96, Kindle-editie.</w:t>
      </w:r>
    </w:p>
    <w:p w14:paraId="0D274DDC" w14:textId="77777777" w:rsidR="00445792" w:rsidRPr="001720BF" w:rsidRDefault="00000000">
      <w:pPr>
        <w:spacing w:after="120" w:line="252" w:lineRule="auto"/>
        <w:rPr>
          <w:rFonts w:asciiTheme="majorHAnsi" w:hAnsiTheme="majorHAnsi" w:cstheme="majorHAnsi"/>
        </w:rPr>
      </w:pPr>
      <w:r w:rsidRPr="001720BF">
        <w:rPr>
          <w:rFonts w:asciiTheme="majorHAnsi" w:hAnsiTheme="majorHAnsi" w:cstheme="majorHAnsi"/>
        </w:rPr>
        <w:t>[9] Nietzsche, ‘The Madman’, p. 95.</w:t>
      </w:r>
    </w:p>
    <w:p w14:paraId="37E2999C" w14:textId="77777777" w:rsidR="00445792" w:rsidRPr="001720BF" w:rsidRDefault="00000000">
      <w:pPr>
        <w:spacing w:after="120" w:line="252" w:lineRule="auto"/>
        <w:rPr>
          <w:rFonts w:asciiTheme="majorHAnsi" w:hAnsiTheme="majorHAnsi" w:cstheme="majorHAnsi"/>
        </w:rPr>
      </w:pPr>
      <w:r w:rsidRPr="001720BF">
        <w:rPr>
          <w:rFonts w:asciiTheme="majorHAnsi" w:hAnsiTheme="majorHAnsi" w:cstheme="majorHAnsi"/>
        </w:rPr>
        <w:t>[10] Nietzsche, ‘The Madman’, p. 96.</w:t>
      </w:r>
    </w:p>
    <w:p w14:paraId="0B2BC15A" w14:textId="77777777" w:rsidR="00445792" w:rsidRPr="001720BF" w:rsidRDefault="00000000">
      <w:pPr>
        <w:spacing w:after="120" w:line="252" w:lineRule="auto"/>
        <w:rPr>
          <w:rFonts w:asciiTheme="majorHAnsi" w:hAnsiTheme="majorHAnsi" w:cstheme="majorHAnsi"/>
        </w:rPr>
      </w:pPr>
      <w:r w:rsidRPr="001720BF">
        <w:rPr>
          <w:rFonts w:asciiTheme="majorHAnsi" w:hAnsiTheme="majorHAnsi" w:cstheme="majorHAnsi"/>
        </w:rPr>
        <w:t>[11] Carl R. Trueman, The Rise and Triumph of the Modern Self: Cultural Amnesia, Expressive Individualism, and the Road to Sexual Revolution (Crossway, 2020).</w:t>
      </w:r>
    </w:p>
    <w:p w14:paraId="28A55EB5" w14:textId="77777777" w:rsidR="00445792" w:rsidRPr="001720BF" w:rsidRDefault="00000000">
      <w:pPr>
        <w:spacing w:after="120" w:line="252" w:lineRule="auto"/>
        <w:rPr>
          <w:rFonts w:asciiTheme="majorHAnsi" w:hAnsiTheme="majorHAnsi" w:cstheme="majorHAnsi"/>
        </w:rPr>
      </w:pPr>
      <w:r w:rsidRPr="001720BF">
        <w:rPr>
          <w:rFonts w:asciiTheme="majorHAnsi" w:hAnsiTheme="majorHAnsi" w:cstheme="majorHAnsi"/>
        </w:rPr>
        <w:t>[12] Zie Douglas Groothuis, ‘Murder by Medicine in Canada and the Threat to America’, Christian Research Journal 46, nr. 03 (2023), https://www.equip.org/articles/murder-by-medicine-in-canada-and-the-threat-to-america/.</w:t>
      </w:r>
    </w:p>
    <w:p w14:paraId="6B2F0464" w14:textId="77777777" w:rsidR="00445792" w:rsidRPr="001720BF" w:rsidRDefault="00000000">
      <w:pPr>
        <w:spacing w:after="120" w:line="252" w:lineRule="auto"/>
        <w:rPr>
          <w:rFonts w:asciiTheme="majorHAnsi" w:hAnsiTheme="majorHAnsi" w:cstheme="majorHAnsi"/>
        </w:rPr>
      </w:pPr>
      <w:r w:rsidRPr="001720BF">
        <w:rPr>
          <w:rFonts w:asciiTheme="majorHAnsi" w:hAnsiTheme="majorHAnsi" w:cstheme="majorHAnsi"/>
        </w:rPr>
        <w:t>[13] Trueman gebruikt het Engelse woord ‘cult’ hier niet in negatieve zin. Het is een godsdienstwetenschappelijke term voor een toegewijde groep met specifieke praktijken. In de hoofdtekst is het weergegeven als ‘eredienst’.</w:t>
      </w:r>
    </w:p>
    <w:p w14:paraId="05C86AD7" w14:textId="77777777" w:rsidR="00445792" w:rsidRPr="001720BF" w:rsidRDefault="00000000">
      <w:pPr>
        <w:spacing w:after="120" w:line="252" w:lineRule="auto"/>
        <w:rPr>
          <w:rFonts w:asciiTheme="majorHAnsi" w:hAnsiTheme="majorHAnsi" w:cstheme="majorHAnsi"/>
        </w:rPr>
      </w:pPr>
      <w:r w:rsidRPr="001720BF">
        <w:rPr>
          <w:rFonts w:asciiTheme="majorHAnsi" w:hAnsiTheme="majorHAnsi" w:cstheme="majorHAnsi"/>
        </w:rPr>
        <w:t>[14] Carl F. H. Henry, God, Revelation and Authority, deel 3, God Who Speaks and Shows: Fifteen Theses, Part Two (Crossway, 1999; oorspronkelijk verschenen in 1979), p. 192.</w:t>
      </w:r>
    </w:p>
    <w:p w14:paraId="74B76CFB" w14:textId="77777777" w:rsidR="00445792" w:rsidRPr="001720BF" w:rsidRDefault="00000000">
      <w:pPr>
        <w:spacing w:after="120" w:line="252" w:lineRule="auto"/>
        <w:rPr>
          <w:rFonts w:asciiTheme="majorHAnsi" w:hAnsiTheme="majorHAnsi" w:cstheme="majorHAnsi"/>
        </w:rPr>
      </w:pPr>
      <w:r w:rsidRPr="001720BF">
        <w:rPr>
          <w:rFonts w:asciiTheme="majorHAnsi" w:hAnsiTheme="majorHAnsi" w:cstheme="majorHAnsi"/>
        </w:rPr>
        <w:t>[15] Jean-Paul Sartre, ‘The Desire to Be God (cont.)’ en ‘The Hole’, in Existentialism and Human Emotions, vertaald door Hazel E. Barnes (Citadel Press, 1987; de selecties verschenen oorspronkelijk in Being and Nothingness, 1943), pp. 63 en 90.</w:t>
      </w:r>
    </w:p>
    <w:sectPr w:rsidR="00445792" w:rsidRPr="001720BF" w:rsidSect="00034616">
      <w:pgSz w:w="11906" w:h="16838"/>
      <w:pgMar w:top="1191" w:right="1304" w:bottom="1191"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11E81368"/>
    <w:multiLevelType w:val="multilevel"/>
    <w:tmpl w:val="3FAE6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9508086">
    <w:abstractNumId w:val="8"/>
  </w:num>
  <w:num w:numId="2" w16cid:durableId="2067339960">
    <w:abstractNumId w:val="6"/>
  </w:num>
  <w:num w:numId="3" w16cid:durableId="310987486">
    <w:abstractNumId w:val="5"/>
  </w:num>
  <w:num w:numId="4" w16cid:durableId="2079129714">
    <w:abstractNumId w:val="4"/>
  </w:num>
  <w:num w:numId="5" w16cid:durableId="2078821023">
    <w:abstractNumId w:val="7"/>
  </w:num>
  <w:num w:numId="6" w16cid:durableId="1910647878">
    <w:abstractNumId w:val="3"/>
  </w:num>
  <w:num w:numId="7" w16cid:durableId="23941831">
    <w:abstractNumId w:val="2"/>
  </w:num>
  <w:num w:numId="8" w16cid:durableId="1083724494">
    <w:abstractNumId w:val="1"/>
  </w:num>
  <w:num w:numId="9" w16cid:durableId="643512887">
    <w:abstractNumId w:val="0"/>
  </w:num>
  <w:num w:numId="10" w16cid:durableId="269746705">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92"/>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6E6C"/>
    <w:rsid w:val="0015074B"/>
    <w:rsid w:val="001720BF"/>
    <w:rsid w:val="0029639D"/>
    <w:rsid w:val="002F2C6C"/>
    <w:rsid w:val="00326F90"/>
    <w:rsid w:val="00445792"/>
    <w:rsid w:val="009A66AC"/>
    <w:rsid w:val="00AA1D8D"/>
    <w:rsid w:val="00B47730"/>
    <w:rsid w:val="00CB0664"/>
    <w:rsid w:val="00D0695A"/>
    <w:rsid w:val="00F646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88CA8F"/>
  <w14:defaultImageDpi w14:val="300"/>
  <w15:docId w15:val="{F91F72F9-B65F-B745-9087-6E8D2A33E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0695A"/>
    <w:pPr>
      <w:spacing w:after="0" w:line="240" w:lineRule="auto"/>
    </w:pPr>
    <w:rPr>
      <w:rFonts w:ascii="Times New Roman" w:eastAsia="Times New Roman" w:hAnsi="Times New Roman" w:cs="Times New Roman"/>
      <w:sz w:val="24"/>
      <w:szCs w:val="24"/>
      <w:lang w:val="nl-NL" w:eastAsia="nl-NL"/>
    </w:rPr>
  </w:style>
  <w:style w:type="paragraph" w:styleId="Kop1">
    <w:name w:val="heading 1"/>
    <w:basedOn w:val="Standaard"/>
    <w:next w:val="Standaard"/>
    <w:link w:val="Kop1Char"/>
    <w:uiPriority w:val="9"/>
    <w:qFormat/>
    <w:rsid w:val="00FC693F"/>
    <w:pPr>
      <w:keepNext/>
      <w:keepLines/>
      <w:spacing w:before="480"/>
      <w:outlineLvl w:val="0"/>
    </w:pPr>
    <w:rPr>
      <w:rFonts w:asciiTheme="majorHAnsi" w:eastAsiaTheme="majorEastAsia" w:hAnsiTheme="majorHAnsi" w:cstheme="majorBidi"/>
      <w:b/>
      <w:bCs/>
      <w:color w:val="000000"/>
      <w:sz w:val="30"/>
      <w:szCs w:val="28"/>
    </w:rPr>
  </w:style>
  <w:style w:type="paragraph" w:styleId="Kop2">
    <w:name w:val="heading 2"/>
    <w:basedOn w:val="Standaard"/>
    <w:next w:val="Standaard"/>
    <w:link w:val="Kop2Char"/>
    <w:uiPriority w:val="9"/>
    <w:unhideWhenUsed/>
    <w:qFormat/>
    <w:rsid w:val="00FC693F"/>
    <w:pPr>
      <w:keepNext/>
      <w:keepLines/>
      <w:spacing w:before="200"/>
      <w:outlineLvl w:val="1"/>
    </w:pPr>
    <w:rPr>
      <w:rFonts w:asciiTheme="majorHAnsi" w:eastAsiaTheme="majorEastAsia" w:hAnsiTheme="majorHAnsi" w:cstheme="majorBidi"/>
      <w:b/>
      <w:bCs/>
      <w:color w:val="000000"/>
      <w:sz w:val="26"/>
      <w:szCs w:val="26"/>
    </w:rPr>
  </w:style>
  <w:style w:type="paragraph" w:styleId="Kop3">
    <w:name w:val="heading 3"/>
    <w:basedOn w:val="Standaard"/>
    <w:next w:val="Standaard"/>
    <w:link w:val="Kop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spacing w:after="300"/>
      <w:contextualSpacing/>
    </w:pPr>
    <w:rPr>
      <w:rFonts w:asciiTheme="majorHAnsi" w:eastAsiaTheme="majorEastAsia" w:hAnsiTheme="majorHAnsi" w:cstheme="majorBidi"/>
      <w:color w:val="000000"/>
      <w:spacing w:val="5"/>
      <w:kern w:val="28"/>
      <w:sz w:val="48"/>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z1qcye">
    <w:name w:val="z1qcye"/>
    <w:basedOn w:val="Standaard"/>
    <w:rsid w:val="00D0695A"/>
    <w:pPr>
      <w:spacing w:before="100" w:beforeAutospacing="1" w:after="100" w:afterAutospacing="1"/>
    </w:pPr>
  </w:style>
  <w:style w:type="character" w:customStyle="1" w:styleId="inqyif">
    <w:name w:val="inqyif"/>
    <w:basedOn w:val="Standaardalinea-lettertype"/>
    <w:rsid w:val="00D0695A"/>
  </w:style>
  <w:style w:type="paragraph" w:styleId="Normaalweb">
    <w:name w:val="Normal (Web)"/>
    <w:basedOn w:val="Standaard"/>
    <w:uiPriority w:val="99"/>
    <w:semiHidden/>
    <w:unhideWhenUsed/>
    <w:rsid w:val="001720B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1775</Words>
  <Characters>19526</Characters>
  <Application>Microsoft Office Word</Application>
  <DocSecurity>0</DocSecurity>
  <Lines>1775</Lines>
  <Paragraphs>1775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Cultuurkritische column</vt:lpstr>
      <vt:lpstr/>
    </vt:vector>
  </TitlesOfParts>
  <Manager/>
  <Company/>
  <LinksUpToDate>false</LinksUpToDate>
  <CharactersWithSpaces>19526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Cultuurkritische column</dc:title>
  <dc:subject/>
  <dc:creator>Douglas Groothuis</dc:creator>
  <cp:keywords/>
  <dc:description>generated by python-docx</dc:description>
  <cp:lastModifiedBy>gerard Feller</cp:lastModifiedBy>
  <cp:revision>2</cp:revision>
  <dcterms:created xsi:type="dcterms:W3CDTF">2026-10-20T08:50:00Z</dcterms:created>
  <dcterms:modified xsi:type="dcterms:W3CDTF">2026-10-20T08:50:00Z</dcterms:modified>
  <cp:category/>
  <dc:language>nl-NL</dc:language>
</cp:coreProperties>
</file>